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DA" w:rsidRPr="002E0F63" w:rsidRDefault="00402BDA" w:rsidP="00402BDA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2E0F63">
        <w:rPr>
          <w:rFonts w:ascii="Times New Roman" w:hAnsi="Times New Roman" w:cs="Times New Roman"/>
          <w:b/>
          <w:bCs/>
          <w:szCs w:val="24"/>
          <w:u w:val="single"/>
        </w:rPr>
        <w:t>Clothes Fastenings</w:t>
      </w:r>
    </w:p>
    <w:p w:rsidR="00D82E33" w:rsidRPr="002E0F63" w:rsidRDefault="00C9740A">
      <w:pPr>
        <w:rPr>
          <w:rFonts w:ascii="Times New Roman" w:hAnsi="Times New Roman" w:cs="Times New Roman"/>
          <w:szCs w:val="24"/>
        </w:rPr>
      </w:pPr>
    </w:p>
    <w:p w:rsidR="00402BDA" w:rsidRPr="002E0F63" w:rsidRDefault="00402BDA" w:rsidP="001A451D">
      <w:pPr>
        <w:jc w:val="both"/>
        <w:rPr>
          <w:rFonts w:ascii="Times New Roman" w:hAnsi="Times New Roman" w:cs="Times New Roman"/>
          <w:szCs w:val="24"/>
        </w:rPr>
      </w:pPr>
      <w:r w:rsidRPr="002E0F63">
        <w:rPr>
          <w:rFonts w:ascii="Times New Roman" w:hAnsi="Times New Roman" w:cs="Times New Roman"/>
          <w:szCs w:val="24"/>
        </w:rPr>
        <w:t>Listen to this song to find out what happens if you don</w:t>
      </w:r>
      <w:r w:rsidR="00C359B4">
        <w:rPr>
          <w:rFonts w:ascii="Times New Roman" w:hAnsi="Times New Roman" w:cs="Times New Roman"/>
          <w:szCs w:val="24"/>
        </w:rPr>
        <w:t>’</w:t>
      </w:r>
      <w:r w:rsidRPr="002E0F63">
        <w:rPr>
          <w:rFonts w:ascii="Times New Roman" w:hAnsi="Times New Roman" w:cs="Times New Roman"/>
          <w:szCs w:val="24"/>
        </w:rPr>
        <w:t>t get dressed properly.</w:t>
      </w:r>
    </w:p>
    <w:p w:rsidR="00402BDA" w:rsidRPr="002E0F63" w:rsidRDefault="00402BDA" w:rsidP="00C9740A">
      <w:pPr>
        <w:rPr>
          <w:rFonts w:ascii="Times New Roman" w:hAnsi="Times New Roman" w:cs="Times New Roman"/>
          <w:szCs w:val="24"/>
        </w:rPr>
      </w:pPr>
      <w:r w:rsidRPr="002E0F63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2E0F63">
          <w:rPr>
            <w:rStyle w:val="a3"/>
            <w:rFonts w:ascii="Times New Roman" w:hAnsi="Times New Roman" w:cs="Times New Roman"/>
            <w:szCs w:val="24"/>
          </w:rPr>
          <w:t>https://learnenglishkids.britishcouncil.org/en/songs/dont-put-your-trousers-your-head</w:t>
        </w:r>
      </w:hyperlink>
      <w:r w:rsidRPr="002E0F63">
        <w:rPr>
          <w:rFonts w:ascii="Times New Roman" w:hAnsi="Times New Roman" w:cs="Times New Roman"/>
          <w:szCs w:val="24"/>
        </w:rPr>
        <w:t>)</w:t>
      </w:r>
    </w:p>
    <w:p w:rsidR="00402BDA" w:rsidRPr="002E0F63" w:rsidRDefault="00402BDA" w:rsidP="001A451D">
      <w:pPr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402BDA" w:rsidRPr="002E0F63" w:rsidRDefault="00402BDA" w:rsidP="001A451D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2E0F63">
        <w:rPr>
          <w:rFonts w:ascii="Times New Roman" w:hAnsi="Times New Roman" w:cs="Times New Roman"/>
          <w:b/>
          <w:bCs/>
          <w:szCs w:val="24"/>
        </w:rPr>
        <w:t>Teacher</w:t>
      </w:r>
      <w:r w:rsidR="00116653">
        <w:rPr>
          <w:rFonts w:ascii="Times New Roman" w:hAnsi="Times New Roman" w:cs="Times New Roman"/>
          <w:b/>
          <w:bCs/>
          <w:szCs w:val="24"/>
        </w:rPr>
        <w:t>’</w:t>
      </w:r>
      <w:r w:rsidRPr="002E0F63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7C0080" w:rsidRDefault="00402BDA" w:rsidP="001A451D">
      <w:pPr>
        <w:pStyle w:val="aa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2E0F63">
        <w:rPr>
          <w:rFonts w:ascii="Times New Roman" w:hAnsi="Times New Roman" w:cs="Times New Roman"/>
          <w:szCs w:val="24"/>
        </w:rPr>
        <w:t>The main activity is based on a rhyming song about the importance of getting dressed properly, which fits into the </w:t>
      </w:r>
      <w:r w:rsidR="003158B6" w:rsidRPr="002E0F63">
        <w:rPr>
          <w:rFonts w:ascii="Times New Roman" w:hAnsi="Times New Roman" w:cs="Times New Roman"/>
          <w:szCs w:val="24"/>
        </w:rPr>
        <w:t>module</w:t>
      </w:r>
      <w:r w:rsidR="003158B6" w:rsidRPr="002E0F63">
        <w:rPr>
          <w:rFonts w:ascii="Times New Roman" w:hAnsi="Times New Roman" w:cs="Times New Roman"/>
          <w:i/>
          <w:iCs/>
          <w:szCs w:val="24"/>
        </w:rPr>
        <w:t xml:space="preserve"> </w:t>
      </w:r>
      <w:r w:rsidR="003158B6">
        <w:rPr>
          <w:rFonts w:ascii="Times New Roman" w:hAnsi="Times New Roman" w:cs="Times New Roman"/>
          <w:i/>
          <w:iCs/>
          <w:szCs w:val="24"/>
        </w:rPr>
        <w:t>“</w:t>
      </w:r>
      <w:r w:rsidRPr="002E0F63">
        <w:rPr>
          <w:rFonts w:ascii="Times New Roman" w:hAnsi="Times New Roman" w:cs="Times New Roman"/>
          <w:i/>
          <w:iCs/>
          <w:szCs w:val="24"/>
        </w:rPr>
        <w:t>Changes</w:t>
      </w:r>
      <w:r w:rsidR="003158B6">
        <w:rPr>
          <w:rFonts w:ascii="Times New Roman" w:hAnsi="Times New Roman" w:cs="Times New Roman"/>
          <w:i/>
          <w:iCs/>
          <w:szCs w:val="24"/>
        </w:rPr>
        <w:t>”</w:t>
      </w:r>
      <w:r w:rsidRPr="002E0F63">
        <w:rPr>
          <w:rFonts w:ascii="Times New Roman" w:hAnsi="Times New Roman" w:cs="Times New Roman"/>
          <w:i/>
          <w:iCs/>
          <w:szCs w:val="24"/>
        </w:rPr>
        <w:t> </w:t>
      </w:r>
      <w:r w:rsidRPr="002E0F63">
        <w:rPr>
          <w:rFonts w:ascii="Times New Roman" w:hAnsi="Times New Roman" w:cs="Times New Roman"/>
          <w:szCs w:val="24"/>
        </w:rPr>
        <w:t xml:space="preserve">. </w:t>
      </w:r>
    </w:p>
    <w:p w:rsidR="00B3263A" w:rsidRPr="002E0F63" w:rsidRDefault="00B3263A" w:rsidP="001A451D">
      <w:pPr>
        <w:pStyle w:val="aa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Pr="002E0F63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Pr="002E0F63">
        <w:rPr>
          <w:rFonts w:ascii="Times New Roman" w:hAnsi="Times New Roman" w:cs="Times New Roman"/>
          <w:szCs w:val="24"/>
        </w:rPr>
        <w:t>:</w:t>
      </w:r>
    </w:p>
    <w:p w:rsidR="00B3263A" w:rsidRPr="002E0F63" w:rsidRDefault="00B3263A" w:rsidP="001A451D">
      <w:pPr>
        <w:numPr>
          <w:ilvl w:val="0"/>
          <w:numId w:val="10"/>
        </w:numPr>
        <w:ind w:hanging="54"/>
        <w:jc w:val="both"/>
        <w:rPr>
          <w:rFonts w:ascii="Times New Roman" w:hAnsi="Times New Roman" w:cs="Times New Roman"/>
          <w:szCs w:val="24"/>
        </w:rPr>
      </w:pPr>
      <w:r w:rsidRPr="002E0F63">
        <w:rPr>
          <w:rFonts w:ascii="Times New Roman" w:hAnsi="Times New Roman" w:cs="Times New Roman"/>
          <w:szCs w:val="24"/>
        </w:rPr>
        <w:t>Imperatives to express prohibitions</w:t>
      </w:r>
    </w:p>
    <w:p w:rsidR="00B3263A" w:rsidRPr="00A1701C" w:rsidRDefault="00D20722" w:rsidP="001A451D">
      <w:pPr>
        <w:pStyle w:val="aa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3263A" w:rsidRPr="00A1701C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B3263A" w:rsidRPr="00A1701C">
        <w:rPr>
          <w:rFonts w:ascii="Times New Roman" w:hAnsi="Times New Roman" w:cs="Times New Roman"/>
          <w:szCs w:val="24"/>
        </w:rPr>
        <w:t>belt, buttons, do up, fasten, gloves, hood, laces, skirt, trousers, Velcro (note the capital ‘V’), zip</w:t>
      </w:r>
    </w:p>
    <w:p w:rsidR="00402BDA" w:rsidRPr="002E0F63" w:rsidRDefault="00402BDA">
      <w:pPr>
        <w:rPr>
          <w:rFonts w:ascii="Times New Roman" w:hAnsi="Times New Roman" w:cs="Times New Roman"/>
          <w:szCs w:val="24"/>
        </w:rPr>
      </w:pPr>
    </w:p>
    <w:p w:rsidR="00402BDA" w:rsidRPr="002E0F63" w:rsidRDefault="00402BDA" w:rsidP="00402BDA">
      <w:pPr>
        <w:rPr>
          <w:rFonts w:ascii="Times New Roman" w:hAnsi="Times New Roman" w:cs="Times New Roman"/>
          <w:b/>
          <w:bCs/>
          <w:szCs w:val="24"/>
        </w:rPr>
      </w:pPr>
      <w:r w:rsidRPr="002E0F63">
        <w:rPr>
          <w:rFonts w:ascii="Times New Roman" w:hAnsi="Times New Roman" w:cs="Times New Roman"/>
          <w:b/>
          <w:bCs/>
          <w:szCs w:val="24"/>
        </w:rPr>
        <w:t>Warm</w:t>
      </w:r>
      <w:r w:rsidR="00FB5DC8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02BDA" w:rsidRPr="002E0F63" w:rsidTr="002E0F6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FB5DC8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402BDA" w:rsidRPr="002E0F63" w:rsidTr="002E0F6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2E0F6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pre-teach key vocabulary</w:t>
            </w:r>
            <w:r w:rsidR="0095415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</w:p>
          <w:p w:rsidR="00402BDA" w:rsidRPr="002E0F63" w:rsidRDefault="00402BDA" w:rsidP="002E0F63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3844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056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402BDA" w:rsidRPr="002E0F63" w:rsidRDefault="00402BDA" w:rsidP="00F44FEB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num" w:pos="308"/>
              </w:tabs>
              <w:spacing w:line="300" w:lineRule="atLeast"/>
              <w:ind w:left="361" w:hanging="36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3844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056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402BDA" w:rsidRPr="002E0F63" w:rsidTr="002E0F6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FB5DC8" w:rsidP="00FB5DC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F44FEB" w:rsidP="001A451D">
            <w:pPr>
              <w:pStyle w:val="aa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 w:left="308" w:hanging="30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402BDA"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licit from </w:t>
            </w:r>
            <w:r w:rsidR="003844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02BDA"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what they are wearing.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Include the following: buttons, zip, Velcro, laces, belt. </w:t>
            </w:r>
          </w:p>
          <w:p w:rsidR="00402BDA" w:rsidRPr="002E0F63" w:rsidRDefault="00175364" w:rsidP="001A451D">
            <w:pPr>
              <w:pStyle w:val="aa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 w:left="308" w:hanging="30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</w:t>
            </w:r>
            <w:r w:rsidR="003844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02BDA"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practise saying the above vocabulary items. Listen for and correct pronunciation errors.</w:t>
            </w:r>
          </w:p>
          <w:p w:rsidR="00402BDA" w:rsidRPr="002E0F63" w:rsidRDefault="00402BDA" w:rsidP="001A451D">
            <w:pPr>
              <w:pStyle w:val="aa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 w:left="308" w:hanging="30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Elic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it what would happen if we didn’</w:t>
            </w: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 have these things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on our clothes</w:t>
            </w: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(</w:t>
            </w:r>
            <w:r w:rsidRPr="002E0F6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Jackets would fall open, trousers would fall down, etc.)</w:t>
            </w:r>
          </w:p>
          <w:p w:rsidR="00402BDA" w:rsidRPr="002E0F63" w:rsidRDefault="00384430" w:rsidP="001A451D">
            <w:pPr>
              <w:pStyle w:val="aa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 w:left="308" w:hanging="30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02BDA"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listen to the song and find out which of the words above is not mentioned in the song (</w:t>
            </w:r>
            <w:r w:rsidR="00402BDA" w:rsidRPr="002E0F63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laces</w:t>
            </w:r>
            <w:r w:rsidR="00402BDA"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).</w:t>
            </w:r>
          </w:p>
          <w:p w:rsidR="00402BDA" w:rsidRPr="002E0F63" w:rsidRDefault="00402BDA" w:rsidP="001A451D">
            <w:pPr>
              <w:pStyle w:val="aa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 w:left="308" w:hanging="30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song.</w:t>
            </w:r>
          </w:p>
          <w:p w:rsidR="00402BDA" w:rsidRPr="002E0F63" w:rsidRDefault="00402BDA" w:rsidP="001A451D">
            <w:pPr>
              <w:pStyle w:val="aa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 w:left="308" w:hanging="308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answers.</w:t>
            </w:r>
          </w:p>
        </w:tc>
      </w:tr>
    </w:tbl>
    <w:p w:rsidR="00402BDA" w:rsidRDefault="00402BDA">
      <w:pPr>
        <w:rPr>
          <w:rFonts w:ascii="Times New Roman" w:hAnsi="Times New Roman" w:cs="Times New Roman"/>
          <w:szCs w:val="24"/>
        </w:rPr>
      </w:pPr>
    </w:p>
    <w:p w:rsidR="001A451D" w:rsidRPr="002E0F63" w:rsidRDefault="001A451D">
      <w:pPr>
        <w:rPr>
          <w:rFonts w:ascii="Times New Roman" w:hAnsi="Times New Roman" w:cs="Times New Roman" w:hint="eastAsia"/>
          <w:szCs w:val="24"/>
        </w:rPr>
      </w:pPr>
    </w:p>
    <w:p w:rsidR="00402BDA" w:rsidRPr="002E0F63" w:rsidRDefault="00402BDA" w:rsidP="00402BDA">
      <w:pPr>
        <w:rPr>
          <w:rFonts w:ascii="Times New Roman" w:hAnsi="Times New Roman" w:cs="Times New Roman"/>
          <w:b/>
          <w:bCs/>
          <w:szCs w:val="24"/>
        </w:rPr>
      </w:pPr>
      <w:r w:rsidRPr="002E0F63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02BDA" w:rsidRPr="002E0F63" w:rsidTr="002E0F6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FB5DC8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402BDA" w:rsidRPr="002E0F63" w:rsidTr="002E0F6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C359B4">
            <w:pPr>
              <w:widowControl/>
              <w:numPr>
                <w:ilvl w:val="0"/>
                <w:numId w:val="16"/>
              </w:numPr>
              <w:tabs>
                <w:tab w:val="clear" w:pos="720"/>
                <w:tab w:val="num" w:pos="503"/>
              </w:tabs>
              <w:spacing w:line="300" w:lineRule="atLeast"/>
              <w:ind w:left="503" w:hanging="503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review the vocabulary</w:t>
            </w:r>
            <w:r w:rsidR="004C6F8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="0017536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</w:t>
            </w:r>
            <w:r w:rsidR="00175364"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clothes</w:t>
            </w:r>
          </w:p>
        </w:tc>
      </w:tr>
      <w:tr w:rsidR="00402BDA" w:rsidRPr="002E0F63" w:rsidTr="002E0F63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FB5DC8" w:rsidP="00FB5DC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BD7771" w:rsidRDefault="00175364" w:rsidP="001A451D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ivide the class into small groups.</w:t>
            </w:r>
          </w:p>
          <w:p w:rsidR="00402BDA" w:rsidRPr="00BD7771" w:rsidRDefault="00175364" w:rsidP="001A451D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 a large piece of paper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each group 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="003844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 write the following across the top: belt, buttons, laces, Velcro, zip.</w:t>
            </w:r>
          </w:p>
          <w:p w:rsidR="00402BDA" w:rsidRPr="00BD7771" w:rsidRDefault="00402BDA" w:rsidP="001A451D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Explain that each group of </w:t>
            </w:r>
            <w:r w:rsidR="003844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has to race 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against 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other groups to put as many items of clothing under each word on their piece of paper as they can, e.g. trainers have laces, so the word </w:t>
            </w:r>
            <w:r w:rsidR="000056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trainers</w:t>
            </w:r>
            <w:r w:rsidR="000056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 goes under </w:t>
            </w:r>
            <w:r w:rsidR="000056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laces</w:t>
            </w:r>
            <w:r w:rsidR="000056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402BDA" w:rsidRPr="00BD7771" w:rsidRDefault="00402BDA" w:rsidP="001A451D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Start the race.</w:t>
            </w:r>
          </w:p>
          <w:p w:rsidR="00402BDA" w:rsidRPr="00BD7771" w:rsidRDefault="00402BDA" w:rsidP="001A451D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Stop the race after about 3 minutes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Have students stick their paper onto the board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give feedback to 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things written by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3844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s.</w:t>
            </w:r>
          </w:p>
          <w:p w:rsidR="00402BDA" w:rsidRPr="00BD7771" w:rsidRDefault="00402BDA" w:rsidP="001A451D">
            <w:pPr>
              <w:pStyle w:val="aa"/>
              <w:widowControl/>
              <w:numPr>
                <w:ilvl w:val="0"/>
                <w:numId w:val="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Announce the winning group.</w:t>
            </w:r>
          </w:p>
        </w:tc>
      </w:tr>
    </w:tbl>
    <w:p w:rsidR="00402BDA" w:rsidRPr="002E0F63" w:rsidRDefault="00402BDA">
      <w:pPr>
        <w:rPr>
          <w:rFonts w:ascii="Times New Roman" w:hAnsi="Times New Roman" w:cs="Times New Roman"/>
          <w:szCs w:val="24"/>
        </w:rPr>
      </w:pPr>
    </w:p>
    <w:p w:rsidR="00313D92" w:rsidRDefault="00313D92" w:rsidP="00402BDA">
      <w:pPr>
        <w:rPr>
          <w:rFonts w:ascii="Times New Roman" w:hAnsi="Times New Roman" w:cs="Times New Roman"/>
          <w:b/>
          <w:bCs/>
          <w:szCs w:val="24"/>
        </w:rPr>
      </w:pPr>
    </w:p>
    <w:p w:rsidR="00402BDA" w:rsidRPr="002E0F63" w:rsidRDefault="00402BDA" w:rsidP="00402BDA">
      <w:pPr>
        <w:rPr>
          <w:rFonts w:ascii="Times New Roman" w:hAnsi="Times New Roman" w:cs="Times New Roman"/>
          <w:b/>
          <w:bCs/>
          <w:szCs w:val="24"/>
        </w:rPr>
      </w:pPr>
      <w:r w:rsidRPr="002E0F63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02BDA" w:rsidRPr="002E0F63" w:rsidTr="002E0F63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FB5DC8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402BDA" w:rsidRPr="002E0F63" w:rsidTr="002E0F63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402BDA" w:rsidP="0043235D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361"/>
              </w:tabs>
              <w:spacing w:line="300" w:lineRule="atLeast"/>
              <w:ind w:hanging="784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review key vocabulary</w:t>
            </w:r>
            <w:r w:rsidR="000457C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</w:p>
          <w:p w:rsidR="00402BDA" w:rsidRPr="002E0F63" w:rsidRDefault="00402BDA" w:rsidP="0043235D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361"/>
              </w:tabs>
              <w:spacing w:line="300" w:lineRule="atLeast"/>
              <w:ind w:hanging="784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E0F6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provide an opportunity for physical movement</w:t>
            </w:r>
          </w:p>
        </w:tc>
      </w:tr>
      <w:tr w:rsidR="00402BDA" w:rsidRPr="002E0F63" w:rsidTr="002E0F63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02BDA" w:rsidRPr="002E0F63" w:rsidRDefault="00FB5DC8" w:rsidP="00402BD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02BDA" w:rsidRPr="00A1701C" w:rsidRDefault="00402BDA" w:rsidP="001A451D">
            <w:pPr>
              <w:widowControl/>
              <w:spacing w:before="240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170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Either:</w:t>
            </w:r>
          </w:p>
          <w:p w:rsidR="00402BDA" w:rsidRPr="00BD7771" w:rsidRDefault="00402BDA" w:rsidP="001A451D">
            <w:pPr>
              <w:pStyle w:val="aa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worksheet 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have students complete it in 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pairs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or on their own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402BDA" w:rsidRPr="00BD7771" w:rsidRDefault="00402BDA" w:rsidP="001A451D">
            <w:pPr>
              <w:pStyle w:val="aa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answers.</w:t>
            </w:r>
          </w:p>
          <w:p w:rsidR="00402BDA" w:rsidRPr="00BD7771" w:rsidRDefault="00402BDA" w:rsidP="001A451D">
            <w:pPr>
              <w:pStyle w:val="aa"/>
              <w:widowControl/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Or:</w:t>
            </w:r>
          </w:p>
          <w:p w:rsidR="00402BDA" w:rsidRPr="00BD7771" w:rsidRDefault="00402BDA" w:rsidP="001A451D">
            <w:pPr>
              <w:pStyle w:val="aa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Use the opening picture of the song (the boy with trousers on his head) to elicit from </w:t>
            </w:r>
            <w:r w:rsidR="003844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how he should have got dressed, e.g. </w:t>
            </w:r>
            <w:r w:rsidR="000056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You should put your T-shirt over your head. You should put your trousers on your legs</w:t>
            </w:r>
            <w:r w:rsidR="000056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etc.</w:t>
            </w:r>
          </w:p>
          <w:p w:rsidR="00402BDA" w:rsidRPr="00BD7771" w:rsidRDefault="00384430" w:rsidP="001A451D">
            <w:pPr>
              <w:pStyle w:val="aa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can play a miming game in pairs: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mimes one of the actions</w:t>
            </w:r>
            <w:r w:rsidR="006F57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;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6B0C6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B guesses the action.</w:t>
            </w:r>
            <w:r w:rsidR="00C359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Have 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swap </w:t>
            </w:r>
            <w:r w:rsidR="006F57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their 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role</w:t>
            </w:r>
            <w:r w:rsidR="006F571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402BDA" w:rsidRPr="00BD777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after a few guesses.</w:t>
            </w:r>
          </w:p>
        </w:tc>
      </w:tr>
    </w:tbl>
    <w:p w:rsidR="00402BDA" w:rsidRPr="002E0F63" w:rsidRDefault="00402BDA">
      <w:pPr>
        <w:rPr>
          <w:rFonts w:ascii="Times New Roman" w:hAnsi="Times New Roman" w:cs="Times New Roman"/>
          <w:szCs w:val="24"/>
        </w:rPr>
      </w:pPr>
    </w:p>
    <w:sectPr w:rsidR="00402BDA" w:rsidRPr="002E0F63" w:rsidSect="00402BD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C4F" w:rsidRDefault="006F2C4F" w:rsidP="006F2C4F">
      <w:r>
        <w:separator/>
      </w:r>
    </w:p>
  </w:endnote>
  <w:endnote w:type="continuationSeparator" w:id="0">
    <w:p w:rsidR="006F2C4F" w:rsidRDefault="006F2C4F" w:rsidP="006F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C4F" w:rsidRDefault="006F2C4F" w:rsidP="006F2C4F">
      <w:r>
        <w:separator/>
      </w:r>
    </w:p>
  </w:footnote>
  <w:footnote w:type="continuationSeparator" w:id="0">
    <w:p w:rsidR="006F2C4F" w:rsidRDefault="006F2C4F" w:rsidP="006F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330F"/>
    <w:multiLevelType w:val="multilevel"/>
    <w:tmpl w:val="0F42D3D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570C0"/>
    <w:multiLevelType w:val="multilevel"/>
    <w:tmpl w:val="A4D0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B24BE"/>
    <w:multiLevelType w:val="multilevel"/>
    <w:tmpl w:val="94E20A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D471AA"/>
    <w:multiLevelType w:val="hybridMultilevel"/>
    <w:tmpl w:val="B360EC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DE6FA8"/>
    <w:multiLevelType w:val="hybridMultilevel"/>
    <w:tmpl w:val="8870A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F2443"/>
    <w:multiLevelType w:val="hybridMultilevel"/>
    <w:tmpl w:val="CACA6626"/>
    <w:lvl w:ilvl="0" w:tplc="21C4E5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9D4412"/>
    <w:multiLevelType w:val="hybridMultilevel"/>
    <w:tmpl w:val="3DCC0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CD3234"/>
    <w:multiLevelType w:val="multilevel"/>
    <w:tmpl w:val="5ACE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6A1077"/>
    <w:multiLevelType w:val="hybridMultilevel"/>
    <w:tmpl w:val="C3008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3328A5"/>
    <w:multiLevelType w:val="hybridMultilevel"/>
    <w:tmpl w:val="EDF2E2FE"/>
    <w:lvl w:ilvl="0" w:tplc="21C4E5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C61508"/>
    <w:multiLevelType w:val="multilevel"/>
    <w:tmpl w:val="224A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F94F12"/>
    <w:multiLevelType w:val="hybridMultilevel"/>
    <w:tmpl w:val="34B08F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DD56A9"/>
    <w:multiLevelType w:val="multilevel"/>
    <w:tmpl w:val="D26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33486B"/>
    <w:multiLevelType w:val="multilevel"/>
    <w:tmpl w:val="FFBA18C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3F1792"/>
    <w:multiLevelType w:val="hybridMultilevel"/>
    <w:tmpl w:val="F97A4FCA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4361E0B"/>
    <w:multiLevelType w:val="hybridMultilevel"/>
    <w:tmpl w:val="99CA72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0"/>
  </w:num>
  <w:num w:numId="5">
    <w:abstractNumId w:val="3"/>
  </w:num>
  <w:num w:numId="6">
    <w:abstractNumId w:val="13"/>
  </w:num>
  <w:num w:numId="7">
    <w:abstractNumId w:val="8"/>
  </w:num>
  <w:num w:numId="8">
    <w:abstractNumId w:val="4"/>
  </w:num>
  <w:num w:numId="9">
    <w:abstractNumId w:val="6"/>
  </w:num>
  <w:num w:numId="10">
    <w:abstractNumId w:val="14"/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DA"/>
    <w:rsid w:val="00005648"/>
    <w:rsid w:val="000457CB"/>
    <w:rsid w:val="00116653"/>
    <w:rsid w:val="00175364"/>
    <w:rsid w:val="001A451D"/>
    <w:rsid w:val="001D61B0"/>
    <w:rsid w:val="002E0F63"/>
    <w:rsid w:val="00313D92"/>
    <w:rsid w:val="003158B6"/>
    <w:rsid w:val="00384430"/>
    <w:rsid w:val="00402BDA"/>
    <w:rsid w:val="0043235D"/>
    <w:rsid w:val="004C6F85"/>
    <w:rsid w:val="00526222"/>
    <w:rsid w:val="005930E9"/>
    <w:rsid w:val="006B0C6E"/>
    <w:rsid w:val="006E0D37"/>
    <w:rsid w:val="006F2C4F"/>
    <w:rsid w:val="006F5713"/>
    <w:rsid w:val="007443DD"/>
    <w:rsid w:val="007C0080"/>
    <w:rsid w:val="007F13F2"/>
    <w:rsid w:val="00827544"/>
    <w:rsid w:val="00880A45"/>
    <w:rsid w:val="0095415E"/>
    <w:rsid w:val="00A1701C"/>
    <w:rsid w:val="00B3263A"/>
    <w:rsid w:val="00BD7771"/>
    <w:rsid w:val="00C359B4"/>
    <w:rsid w:val="00C906F8"/>
    <w:rsid w:val="00C9740A"/>
    <w:rsid w:val="00CD4C28"/>
    <w:rsid w:val="00D20722"/>
    <w:rsid w:val="00D37987"/>
    <w:rsid w:val="00F44FEB"/>
    <w:rsid w:val="00FB5DC8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CA26F91"/>
  <w15:chartTrackingRefBased/>
  <w15:docId w15:val="{3E9D5429-37D0-4E5E-B3F6-577A9E78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BD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02BDA"/>
    <w:rPr>
      <w:b/>
      <w:bCs/>
    </w:rPr>
  </w:style>
  <w:style w:type="paragraph" w:styleId="Web">
    <w:name w:val="Normal (Web)"/>
    <w:basedOn w:val="a"/>
    <w:uiPriority w:val="99"/>
    <w:semiHidden/>
    <w:unhideWhenUsed/>
    <w:rsid w:val="00402BD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402BDA"/>
    <w:rPr>
      <w:i/>
      <w:iCs/>
    </w:rPr>
  </w:style>
  <w:style w:type="paragraph" w:styleId="a6">
    <w:name w:val="header"/>
    <w:basedOn w:val="a"/>
    <w:link w:val="a7"/>
    <w:uiPriority w:val="99"/>
    <w:unhideWhenUsed/>
    <w:rsid w:val="006F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2C4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2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2C4F"/>
    <w:rPr>
      <w:sz w:val="20"/>
      <w:szCs w:val="20"/>
    </w:rPr>
  </w:style>
  <w:style w:type="paragraph" w:styleId="aa">
    <w:name w:val="List Paragraph"/>
    <w:basedOn w:val="a"/>
    <w:uiPriority w:val="34"/>
    <w:qFormat/>
    <w:rsid w:val="002E0F63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7C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dont-put-your-trousers-your-he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6</cp:revision>
  <dcterms:created xsi:type="dcterms:W3CDTF">2018-10-15T07:22:00Z</dcterms:created>
  <dcterms:modified xsi:type="dcterms:W3CDTF">2019-08-13T09:31:00Z</dcterms:modified>
</cp:coreProperties>
</file>