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7D5" w:rsidRPr="008612FF" w:rsidRDefault="008F07D5" w:rsidP="008F07D5">
      <w:pPr>
        <w:rPr>
          <w:rFonts w:ascii="Times New Roman" w:hAnsi="Times New Roman" w:cs="Times New Roman"/>
          <w:b/>
          <w:bCs/>
          <w:szCs w:val="24"/>
          <w:u w:val="single"/>
        </w:rPr>
      </w:pPr>
      <w:r w:rsidRPr="008612FF">
        <w:rPr>
          <w:rFonts w:ascii="Times New Roman" w:hAnsi="Times New Roman" w:cs="Times New Roman"/>
          <w:b/>
          <w:bCs/>
          <w:szCs w:val="24"/>
          <w:u w:val="single"/>
        </w:rPr>
        <w:t>The Great Race</w:t>
      </w:r>
    </w:p>
    <w:p w:rsidR="00D82E33" w:rsidRPr="008612FF" w:rsidRDefault="00B31145">
      <w:pPr>
        <w:rPr>
          <w:rFonts w:ascii="Times New Roman" w:hAnsi="Times New Roman" w:cs="Times New Roman"/>
          <w:szCs w:val="24"/>
        </w:rPr>
      </w:pPr>
    </w:p>
    <w:p w:rsidR="008F07D5" w:rsidRPr="008612FF" w:rsidRDefault="008F07D5">
      <w:pPr>
        <w:rPr>
          <w:rFonts w:ascii="Times New Roman" w:hAnsi="Times New Roman" w:cs="Times New Roman"/>
          <w:szCs w:val="24"/>
        </w:rPr>
      </w:pPr>
      <w:r w:rsidRPr="008612FF">
        <w:rPr>
          <w:rFonts w:ascii="Times New Roman" w:hAnsi="Times New Roman" w:cs="Times New Roman"/>
          <w:szCs w:val="24"/>
        </w:rPr>
        <w:t xml:space="preserve">How did people count </w:t>
      </w:r>
      <w:r w:rsidR="0017613C">
        <w:rPr>
          <w:rFonts w:ascii="Times New Roman" w:hAnsi="Times New Roman" w:cs="Times New Roman"/>
          <w:szCs w:val="24"/>
        </w:rPr>
        <w:t xml:space="preserve">the </w:t>
      </w:r>
      <w:r w:rsidRPr="008612FF">
        <w:rPr>
          <w:rFonts w:ascii="Times New Roman" w:hAnsi="Times New Roman" w:cs="Times New Roman"/>
          <w:szCs w:val="24"/>
        </w:rPr>
        <w:t xml:space="preserve">years in the old days? Listen to </w:t>
      </w:r>
      <w:r w:rsidR="008612FF">
        <w:rPr>
          <w:rFonts w:ascii="Times New Roman" w:hAnsi="Times New Roman" w:cs="Times New Roman"/>
          <w:szCs w:val="24"/>
        </w:rPr>
        <w:t>a</w:t>
      </w:r>
      <w:r w:rsidRPr="008612FF">
        <w:rPr>
          <w:rFonts w:ascii="Times New Roman" w:hAnsi="Times New Roman" w:cs="Times New Roman"/>
          <w:szCs w:val="24"/>
        </w:rPr>
        <w:t xml:space="preserve"> story about the Chinese Zodiac to find out.</w:t>
      </w:r>
    </w:p>
    <w:p w:rsidR="008F07D5" w:rsidRPr="008612FF" w:rsidRDefault="008F07D5">
      <w:pPr>
        <w:rPr>
          <w:rFonts w:ascii="Times New Roman" w:hAnsi="Times New Roman" w:cs="Times New Roman"/>
          <w:szCs w:val="24"/>
        </w:rPr>
      </w:pPr>
      <w:r w:rsidRPr="008612FF">
        <w:rPr>
          <w:rFonts w:ascii="Times New Roman" w:hAnsi="Times New Roman" w:cs="Times New Roman"/>
          <w:szCs w:val="24"/>
        </w:rPr>
        <w:t xml:space="preserve">(Video link: </w:t>
      </w:r>
      <w:hyperlink r:id="rId7" w:history="1">
        <w:r w:rsidRPr="008612FF">
          <w:rPr>
            <w:rStyle w:val="a3"/>
            <w:rFonts w:ascii="Times New Roman" w:hAnsi="Times New Roman" w:cs="Times New Roman"/>
            <w:szCs w:val="24"/>
          </w:rPr>
          <w:t>https://learnenglishkids.britishcouncil.org/en/short-stories/the-great-race</w:t>
        </w:r>
      </w:hyperlink>
      <w:r w:rsidRPr="008612FF">
        <w:rPr>
          <w:rFonts w:ascii="Times New Roman" w:hAnsi="Times New Roman" w:cs="Times New Roman"/>
          <w:szCs w:val="24"/>
        </w:rPr>
        <w:t>)</w:t>
      </w:r>
    </w:p>
    <w:p w:rsidR="008F07D5" w:rsidRPr="008612FF" w:rsidRDefault="008F07D5">
      <w:pPr>
        <w:rPr>
          <w:rFonts w:ascii="Times New Roman" w:hAnsi="Times New Roman" w:cs="Times New Roman"/>
          <w:szCs w:val="24"/>
        </w:rPr>
      </w:pPr>
    </w:p>
    <w:p w:rsidR="008F07D5" w:rsidRPr="008612FF" w:rsidRDefault="008F07D5" w:rsidP="008F07D5">
      <w:pPr>
        <w:rPr>
          <w:rFonts w:ascii="Times New Roman" w:hAnsi="Times New Roman" w:cs="Times New Roman"/>
          <w:b/>
          <w:bCs/>
          <w:szCs w:val="24"/>
        </w:rPr>
      </w:pPr>
      <w:r w:rsidRPr="008612FF">
        <w:rPr>
          <w:rFonts w:ascii="Times New Roman" w:hAnsi="Times New Roman" w:cs="Times New Roman"/>
          <w:b/>
          <w:bCs/>
          <w:szCs w:val="24"/>
        </w:rPr>
        <w:t>Teacher</w:t>
      </w:r>
      <w:r w:rsidR="008612FF">
        <w:rPr>
          <w:rFonts w:ascii="Times New Roman" w:hAnsi="Times New Roman" w:cs="Times New Roman"/>
          <w:b/>
          <w:bCs/>
          <w:szCs w:val="24"/>
        </w:rPr>
        <w:t>’</w:t>
      </w:r>
      <w:r w:rsidRPr="008612FF">
        <w:rPr>
          <w:rFonts w:ascii="Times New Roman" w:hAnsi="Times New Roman" w:cs="Times New Roman"/>
          <w:b/>
          <w:bCs/>
          <w:szCs w:val="24"/>
        </w:rPr>
        <w:t>s Notes / Lesson Plan</w:t>
      </w:r>
    </w:p>
    <w:p w:rsidR="00CC01E5" w:rsidRPr="00CC01E5" w:rsidRDefault="008F07D5" w:rsidP="00B018ED">
      <w:pPr>
        <w:pStyle w:val="a6"/>
        <w:numPr>
          <w:ilvl w:val="0"/>
          <w:numId w:val="4"/>
        </w:numPr>
        <w:ind w:leftChars="0"/>
        <w:jc w:val="both"/>
        <w:rPr>
          <w:rFonts w:ascii="Times New Roman" w:hAnsi="Times New Roman" w:cs="Times New Roman"/>
          <w:szCs w:val="24"/>
        </w:rPr>
      </w:pPr>
      <w:r w:rsidRPr="00CC01E5">
        <w:rPr>
          <w:rFonts w:ascii="Times New Roman" w:hAnsi="Times New Roman" w:cs="Times New Roman"/>
          <w:szCs w:val="24"/>
        </w:rPr>
        <w:t>The main activity is based on a narrative text (traditional story/myth) explaining how the twelve animals of the Chinese Zodiac were chosen. It fits into the </w:t>
      </w:r>
      <w:r w:rsidR="00CC01E5" w:rsidRPr="00CC01E5">
        <w:rPr>
          <w:rFonts w:ascii="Times New Roman" w:hAnsi="Times New Roman" w:cs="Times New Roman"/>
          <w:szCs w:val="24"/>
        </w:rPr>
        <w:t>module</w:t>
      </w:r>
      <w:r w:rsidR="00CC01E5" w:rsidRPr="00CC01E5">
        <w:rPr>
          <w:rFonts w:ascii="Times New Roman" w:hAnsi="Times New Roman" w:cs="Times New Roman"/>
          <w:i/>
          <w:iCs/>
          <w:szCs w:val="24"/>
        </w:rPr>
        <w:t xml:space="preserve"> </w:t>
      </w:r>
      <w:r w:rsidR="00CC01E5" w:rsidRPr="00CC01E5">
        <w:rPr>
          <w:rFonts w:ascii="Times New Roman" w:hAnsi="Times New Roman" w:cs="Times New Roman"/>
          <w:iCs/>
          <w:szCs w:val="24"/>
        </w:rPr>
        <w:t>“</w:t>
      </w:r>
      <w:r w:rsidRPr="00CC01E5">
        <w:rPr>
          <w:rFonts w:ascii="Times New Roman" w:hAnsi="Times New Roman" w:cs="Times New Roman"/>
          <w:i/>
          <w:iCs/>
          <w:szCs w:val="24"/>
        </w:rPr>
        <w:t>We Love Hong Kong</w:t>
      </w:r>
      <w:r w:rsidR="00CC01E5" w:rsidRPr="00CC01E5">
        <w:rPr>
          <w:rFonts w:ascii="Times New Roman" w:hAnsi="Times New Roman" w:cs="Times New Roman"/>
          <w:iCs/>
          <w:szCs w:val="24"/>
        </w:rPr>
        <w:t>”</w:t>
      </w:r>
      <w:r w:rsidRPr="00CC01E5">
        <w:rPr>
          <w:rFonts w:ascii="Times New Roman" w:hAnsi="Times New Roman" w:cs="Times New Roman"/>
          <w:i/>
          <w:iCs/>
          <w:szCs w:val="24"/>
        </w:rPr>
        <w:t> </w:t>
      </w:r>
      <w:r w:rsidRPr="00CC01E5">
        <w:rPr>
          <w:rFonts w:ascii="Times New Roman" w:hAnsi="Times New Roman" w:cs="Times New Roman"/>
          <w:szCs w:val="24"/>
        </w:rPr>
        <w:t xml:space="preserve">. </w:t>
      </w:r>
    </w:p>
    <w:p w:rsidR="008F07D5" w:rsidRDefault="00CC01E5" w:rsidP="00B018ED">
      <w:pPr>
        <w:pStyle w:val="a6"/>
        <w:numPr>
          <w:ilvl w:val="0"/>
          <w:numId w:val="5"/>
        </w:numPr>
        <w:ind w:leftChars="0"/>
        <w:jc w:val="both"/>
        <w:rPr>
          <w:rFonts w:ascii="Times New Roman" w:hAnsi="Times New Roman" w:cs="Times New Roman"/>
          <w:szCs w:val="24"/>
        </w:rPr>
      </w:pPr>
      <w:r w:rsidRPr="00CC01E5">
        <w:rPr>
          <w:rFonts w:ascii="Times New Roman" w:hAnsi="Times New Roman" w:cs="Times New Roman"/>
          <w:szCs w:val="24"/>
        </w:rPr>
        <w:t>L</w:t>
      </w:r>
      <w:r w:rsidR="008F07D5" w:rsidRPr="00CC01E5">
        <w:rPr>
          <w:rFonts w:ascii="Times New Roman" w:hAnsi="Times New Roman" w:cs="Times New Roman"/>
          <w:szCs w:val="24"/>
        </w:rPr>
        <w:t>anguage items</w:t>
      </w:r>
      <w:r w:rsidRPr="00CC01E5">
        <w:rPr>
          <w:rFonts w:ascii="Times New Roman" w:hAnsi="Times New Roman" w:cs="Times New Roman"/>
          <w:szCs w:val="24"/>
        </w:rPr>
        <w:t>/structures</w:t>
      </w:r>
      <w:r w:rsidR="008F07D5" w:rsidRPr="00CC01E5">
        <w:rPr>
          <w:rFonts w:ascii="Times New Roman" w:hAnsi="Times New Roman" w:cs="Times New Roman"/>
          <w:szCs w:val="24"/>
        </w:rPr>
        <w:t>:</w:t>
      </w:r>
    </w:p>
    <w:p w:rsidR="00CC01E5" w:rsidRPr="00CC01E5" w:rsidRDefault="00CC01E5" w:rsidP="00B018ED">
      <w:pPr>
        <w:pStyle w:val="a6"/>
        <w:numPr>
          <w:ilvl w:val="0"/>
          <w:numId w:val="8"/>
        </w:numPr>
        <w:ind w:leftChars="0"/>
        <w:jc w:val="both"/>
        <w:rPr>
          <w:rFonts w:ascii="Times New Roman" w:hAnsi="Times New Roman" w:cs="Times New Roman"/>
          <w:szCs w:val="24"/>
        </w:rPr>
      </w:pPr>
      <w:r w:rsidRPr="00CC01E5">
        <w:rPr>
          <w:rFonts w:ascii="Times New Roman" w:hAnsi="Times New Roman" w:cs="Times New Roman"/>
          <w:szCs w:val="24"/>
        </w:rPr>
        <w:t>Simple past tense to describe activities or events in a story</w:t>
      </w:r>
    </w:p>
    <w:p w:rsidR="00CC01E5" w:rsidRPr="00CC01E5" w:rsidRDefault="00CC01E5" w:rsidP="00B018ED">
      <w:pPr>
        <w:pStyle w:val="a6"/>
        <w:numPr>
          <w:ilvl w:val="0"/>
          <w:numId w:val="8"/>
        </w:numPr>
        <w:ind w:leftChars="0"/>
        <w:jc w:val="both"/>
        <w:rPr>
          <w:rFonts w:ascii="Times New Roman" w:hAnsi="Times New Roman" w:cs="Times New Roman"/>
          <w:szCs w:val="24"/>
        </w:rPr>
      </w:pPr>
      <w:r w:rsidRPr="00CC01E5">
        <w:rPr>
          <w:rFonts w:ascii="Times New Roman" w:hAnsi="Times New Roman" w:cs="Times New Roman"/>
          <w:szCs w:val="24"/>
        </w:rPr>
        <w:t>Simple future tense to make promises</w:t>
      </w:r>
    </w:p>
    <w:p w:rsidR="00CC01E5" w:rsidRPr="00CC01E5" w:rsidRDefault="002B5C81" w:rsidP="00B018ED">
      <w:pPr>
        <w:pStyle w:val="a6"/>
        <w:numPr>
          <w:ilvl w:val="0"/>
          <w:numId w:val="5"/>
        </w:numPr>
        <w:ind w:leftChars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</w:t>
      </w:r>
      <w:r w:rsidR="00CC01E5">
        <w:rPr>
          <w:rFonts w:ascii="Times New Roman" w:hAnsi="Times New Roman" w:cs="Times New Roman" w:hint="eastAsia"/>
          <w:szCs w:val="24"/>
        </w:rPr>
        <w:t>ocabulary items:</w:t>
      </w:r>
      <w:r w:rsidR="00CC01E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e.g. </w:t>
      </w:r>
      <w:r w:rsidR="00CC01E5" w:rsidRPr="00CC01E5">
        <w:rPr>
          <w:rFonts w:ascii="Times New Roman" w:hAnsi="Times New Roman" w:cs="Times New Roman"/>
          <w:szCs w:val="24"/>
        </w:rPr>
        <w:t>rat, ox, tiger, rabbit, dragon, snake, horse, goat, monkey, rooster, dog, pig; ordinal numbers 1</w:t>
      </w:r>
      <w:r w:rsidR="00CC01E5" w:rsidRPr="00CC01E5">
        <w:rPr>
          <w:rFonts w:ascii="Times New Roman" w:hAnsi="Times New Roman" w:cs="Times New Roman"/>
          <w:szCs w:val="24"/>
          <w:vertAlign w:val="superscript"/>
        </w:rPr>
        <w:t>st</w:t>
      </w:r>
      <w:r w:rsidR="00CC01E5" w:rsidRPr="00CC01E5">
        <w:rPr>
          <w:rFonts w:ascii="Times New Roman" w:hAnsi="Times New Roman" w:cs="Times New Roman"/>
          <w:szCs w:val="24"/>
        </w:rPr>
        <w:t> – 12</w:t>
      </w:r>
      <w:r w:rsidR="00CC01E5" w:rsidRPr="00CC01E5">
        <w:rPr>
          <w:rFonts w:ascii="Times New Roman" w:hAnsi="Times New Roman" w:cs="Times New Roman"/>
          <w:szCs w:val="24"/>
          <w:vertAlign w:val="superscript"/>
        </w:rPr>
        <w:t>th</w:t>
      </w:r>
    </w:p>
    <w:p w:rsidR="008F07D5" w:rsidRPr="008612FF" w:rsidRDefault="008F07D5" w:rsidP="00B018ED">
      <w:pPr>
        <w:jc w:val="both"/>
        <w:rPr>
          <w:rFonts w:ascii="Times New Roman" w:hAnsi="Times New Roman" w:cs="Times New Roman"/>
          <w:szCs w:val="24"/>
          <w:vertAlign w:val="superscript"/>
        </w:rPr>
      </w:pPr>
    </w:p>
    <w:p w:rsidR="008F07D5" w:rsidRPr="008612FF" w:rsidRDefault="008F07D5" w:rsidP="008F07D5">
      <w:pPr>
        <w:rPr>
          <w:rFonts w:ascii="Times New Roman" w:hAnsi="Times New Roman" w:cs="Times New Roman"/>
          <w:b/>
          <w:bCs/>
          <w:szCs w:val="24"/>
        </w:rPr>
      </w:pPr>
      <w:r w:rsidRPr="008612FF">
        <w:rPr>
          <w:rFonts w:ascii="Times New Roman" w:hAnsi="Times New Roman" w:cs="Times New Roman"/>
          <w:b/>
          <w:bCs/>
          <w:szCs w:val="24"/>
        </w:rPr>
        <w:t>Warm</w:t>
      </w:r>
      <w:r w:rsidR="00CF489F">
        <w:rPr>
          <w:rFonts w:ascii="Times New Roman" w:hAnsi="Times New Roman" w:cs="Times New Roman"/>
          <w:b/>
          <w:bCs/>
          <w:szCs w:val="24"/>
        </w:rPr>
        <w:t>-up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AD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7"/>
        <w:gridCol w:w="6899"/>
      </w:tblGrid>
      <w:tr w:rsidR="008F07D5" w:rsidRPr="008612FF" w:rsidTr="006F3B40">
        <w:tc>
          <w:tcPr>
            <w:tcW w:w="648" w:type="pct"/>
            <w:shd w:val="clear" w:color="auto" w:fill="FEEA98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:rsidR="008F07D5" w:rsidRPr="008612FF" w:rsidRDefault="00CF489F" w:rsidP="008F07D5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Cs w:val="24"/>
              </w:rPr>
              <w:t>Duration</w:t>
            </w:r>
          </w:p>
        </w:tc>
        <w:tc>
          <w:tcPr>
            <w:tcW w:w="4352" w:type="pct"/>
            <w:shd w:val="clear" w:color="auto" w:fill="FFF1C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07D5" w:rsidRPr="008612FF" w:rsidRDefault="008F07D5" w:rsidP="008F07D5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8612FF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5 minutes</w:t>
            </w:r>
          </w:p>
        </w:tc>
      </w:tr>
      <w:tr w:rsidR="008F07D5" w:rsidRPr="008612FF" w:rsidTr="006F3B40">
        <w:tc>
          <w:tcPr>
            <w:tcW w:w="648" w:type="pct"/>
            <w:shd w:val="clear" w:color="auto" w:fill="FEEA98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:rsidR="008F07D5" w:rsidRPr="008612FF" w:rsidRDefault="008F07D5" w:rsidP="00CF489F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8612FF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Cs w:val="24"/>
              </w:rPr>
              <w:t>Aim</w:t>
            </w:r>
          </w:p>
        </w:tc>
        <w:tc>
          <w:tcPr>
            <w:tcW w:w="4352" w:type="pct"/>
            <w:shd w:val="clear" w:color="auto" w:fill="FFF1C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07D5" w:rsidRPr="008612FF" w:rsidRDefault="008F07D5" w:rsidP="006F3B40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314"/>
              </w:tabs>
              <w:spacing w:line="300" w:lineRule="atLeast"/>
              <w:ind w:hanging="720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8612FF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To introduce some key vocabulary</w:t>
            </w:r>
            <w:r w:rsidR="00CF489F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items</w:t>
            </w:r>
          </w:p>
        </w:tc>
      </w:tr>
      <w:tr w:rsidR="008F07D5" w:rsidRPr="008612FF" w:rsidTr="006F3B40">
        <w:tc>
          <w:tcPr>
            <w:tcW w:w="648" w:type="pct"/>
            <w:shd w:val="clear" w:color="auto" w:fill="FEEA98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:rsidR="008F07D5" w:rsidRPr="008612FF" w:rsidRDefault="00CF489F" w:rsidP="00B31145">
            <w:pPr>
              <w:widowControl/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Cs w:val="24"/>
              </w:rPr>
              <w:t>Teaching Steps</w:t>
            </w:r>
          </w:p>
        </w:tc>
        <w:tc>
          <w:tcPr>
            <w:tcW w:w="4352" w:type="pct"/>
            <w:shd w:val="clear" w:color="auto" w:fill="FFF1C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07D5" w:rsidRPr="006F3B40" w:rsidRDefault="00A93141" w:rsidP="00B31145">
            <w:pPr>
              <w:pStyle w:val="a6"/>
              <w:widowControl/>
              <w:numPr>
                <w:ilvl w:val="0"/>
                <w:numId w:val="11"/>
              </w:numPr>
              <w:spacing w:before="240" w:after="240" w:line="300" w:lineRule="atLeast"/>
              <w:ind w:leftChars="0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D</w:t>
            </w:r>
            <w:r w:rsidR="008F07D5" w:rsidRPr="006F3B40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isplay 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pictures</w:t>
            </w:r>
            <w:r w:rsidR="0017613C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and names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of the twelve animals of the Chinese Zodiac </w:t>
            </w:r>
            <w:r w:rsidR="008F07D5" w:rsidRPr="006F3B40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on the board.</w:t>
            </w:r>
          </w:p>
          <w:p w:rsidR="008F07D5" w:rsidRPr="006F3B40" w:rsidRDefault="008F07D5" w:rsidP="00B31145">
            <w:pPr>
              <w:pStyle w:val="a6"/>
              <w:widowControl/>
              <w:numPr>
                <w:ilvl w:val="0"/>
                <w:numId w:val="11"/>
              </w:numPr>
              <w:spacing w:before="240" w:after="240" w:line="300" w:lineRule="atLeast"/>
              <w:ind w:leftChars="0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6F3B40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Invite </w:t>
            </w:r>
            <w:r w:rsidR="00CF489F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student</w:t>
            </w:r>
            <w:r w:rsidRPr="006F3B40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s to come up and match the words and pictures. </w:t>
            </w:r>
          </w:p>
          <w:p w:rsidR="008F07D5" w:rsidRPr="006F3B40" w:rsidRDefault="008F07D5" w:rsidP="00B31145">
            <w:pPr>
              <w:pStyle w:val="a6"/>
              <w:widowControl/>
              <w:numPr>
                <w:ilvl w:val="0"/>
                <w:numId w:val="11"/>
              </w:numPr>
              <w:spacing w:before="240" w:after="240" w:line="300" w:lineRule="atLeast"/>
              <w:ind w:leftChars="0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6F3B40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Ask </w:t>
            </w:r>
            <w:r w:rsidR="00CF489F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student</w:t>
            </w:r>
            <w:r w:rsidRPr="006F3B40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s to say the words aloud. Listen for any pronunciation errors and correct them.</w:t>
            </w:r>
          </w:p>
        </w:tc>
      </w:tr>
    </w:tbl>
    <w:p w:rsidR="008F07D5" w:rsidRDefault="008F07D5" w:rsidP="00B31145">
      <w:pPr>
        <w:jc w:val="both"/>
        <w:rPr>
          <w:rFonts w:ascii="Times New Roman" w:hAnsi="Times New Roman" w:cs="Times New Roman"/>
          <w:szCs w:val="24"/>
        </w:rPr>
      </w:pPr>
    </w:p>
    <w:p w:rsidR="008F07D5" w:rsidRPr="008612FF" w:rsidRDefault="008F07D5" w:rsidP="00B31145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8612FF">
        <w:rPr>
          <w:rFonts w:ascii="Times New Roman" w:hAnsi="Times New Roman" w:cs="Times New Roman"/>
          <w:b/>
          <w:bCs/>
          <w:szCs w:val="24"/>
        </w:rPr>
        <w:t>Main Activity</w:t>
      </w:r>
    </w:p>
    <w:tbl>
      <w:tblPr>
        <w:tblW w:w="5000" w:type="pct"/>
        <w:shd w:val="clear" w:color="auto" w:fill="FFFAD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7"/>
        <w:gridCol w:w="6899"/>
      </w:tblGrid>
      <w:tr w:rsidR="008F07D5" w:rsidRPr="008612FF" w:rsidTr="006F3B40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A98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:rsidR="008F07D5" w:rsidRPr="008612FF" w:rsidRDefault="00CF489F" w:rsidP="00B31145">
            <w:pPr>
              <w:widowControl/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Cs w:val="24"/>
              </w:rPr>
              <w:t>Duration</w:t>
            </w: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1C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07D5" w:rsidRPr="008612FF" w:rsidRDefault="008F07D5" w:rsidP="00B31145">
            <w:pPr>
              <w:widowControl/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8612FF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10 minutes</w:t>
            </w:r>
          </w:p>
        </w:tc>
      </w:tr>
      <w:tr w:rsidR="008F07D5" w:rsidRPr="008612FF" w:rsidTr="006F3B40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A98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:rsidR="008F07D5" w:rsidRPr="008612FF" w:rsidRDefault="008F07D5" w:rsidP="00B31145">
            <w:pPr>
              <w:widowControl/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8612FF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Cs w:val="24"/>
              </w:rPr>
              <w:t>Aims</w:t>
            </w: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1C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07D5" w:rsidRPr="008612FF" w:rsidRDefault="008F07D5" w:rsidP="00B31145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456"/>
              </w:tabs>
              <w:spacing w:line="300" w:lineRule="atLeast"/>
              <w:ind w:hanging="690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8612FF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To activate </w:t>
            </w:r>
            <w:r w:rsidR="00CF489F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student</w:t>
            </w:r>
            <w:r w:rsidRPr="008612FF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s</w:t>
            </w:r>
            <w:r w:rsidR="008612FF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’</w:t>
            </w:r>
            <w:r w:rsidRPr="008612FF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prior knowledge</w:t>
            </w:r>
          </w:p>
          <w:p w:rsidR="008F07D5" w:rsidRDefault="008F07D5" w:rsidP="00B31145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456"/>
              </w:tabs>
              <w:spacing w:line="300" w:lineRule="atLeast"/>
              <w:ind w:left="503" w:hanging="473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8612FF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To develop </w:t>
            </w:r>
            <w:r w:rsidR="00CF489F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student</w:t>
            </w:r>
            <w:r w:rsidRPr="008612FF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s</w:t>
            </w:r>
            <w:r w:rsidR="008612FF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’</w:t>
            </w:r>
            <w:r w:rsidRPr="008612FF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ability to pronounce words correctly</w:t>
            </w:r>
          </w:p>
          <w:p w:rsidR="008F07D5" w:rsidRPr="008612FF" w:rsidRDefault="00A93141" w:rsidP="00B31145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456"/>
              </w:tabs>
              <w:spacing w:line="300" w:lineRule="atLeast"/>
              <w:ind w:left="503" w:hanging="473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lastRenderedPageBreak/>
              <w:t xml:space="preserve">To </w:t>
            </w:r>
            <w:r w:rsidRPr="008612FF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develop 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student</w:t>
            </w:r>
            <w:r w:rsidRPr="008612FF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’</w:t>
            </w:r>
            <w:r w:rsidRPr="008612FF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ability to listen for the gist or main ideas</w:t>
            </w:r>
          </w:p>
        </w:tc>
      </w:tr>
      <w:tr w:rsidR="008F07D5" w:rsidRPr="008612FF" w:rsidTr="006F3B40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A98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:rsidR="008F07D5" w:rsidRPr="008612FF" w:rsidRDefault="00CF489F" w:rsidP="008F07D5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Cs w:val="24"/>
              </w:rPr>
              <w:lastRenderedPageBreak/>
              <w:t>Teaching Steps</w:t>
            </w: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1C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3B21" w:rsidRDefault="0017613C" w:rsidP="00B31145">
            <w:pPr>
              <w:pStyle w:val="a6"/>
              <w:widowControl/>
              <w:numPr>
                <w:ilvl w:val="0"/>
                <w:numId w:val="13"/>
              </w:numPr>
              <w:spacing w:before="240" w:after="240" w:line="300" w:lineRule="atLeast"/>
              <w:ind w:leftChars="0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Ask students </w:t>
            </w:r>
            <w:r w:rsidR="008F07D5" w:rsidRPr="00D43B2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if 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they</w:t>
            </w:r>
            <w:r w:rsidR="008F07D5" w:rsidRPr="00D43B2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know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the myths about choosing the Chinese Zodiac.</w:t>
            </w:r>
            <w:r w:rsidR="008F07D5" w:rsidRPr="00D43B2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</w:t>
            </w:r>
          </w:p>
          <w:p w:rsidR="008F07D5" w:rsidRPr="00D43B21" w:rsidRDefault="00A93141" w:rsidP="00B31145">
            <w:pPr>
              <w:pStyle w:val="a6"/>
              <w:widowControl/>
              <w:numPr>
                <w:ilvl w:val="0"/>
                <w:numId w:val="13"/>
              </w:numPr>
              <w:spacing w:before="240" w:after="240" w:line="300" w:lineRule="atLeast"/>
              <w:ind w:leftChars="0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D43B2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Ask </w:t>
            </w:r>
            <w:r w:rsidR="0017613C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them about </w:t>
            </w:r>
            <w:r w:rsidR="008F07D5" w:rsidRPr="00D43B2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the order of </w:t>
            </w:r>
            <w:r w:rsidR="0017613C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the Chinese Zodiac.</w:t>
            </w:r>
            <w:r w:rsidR="008F07D5" w:rsidRPr="00D43B2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</w:t>
            </w:r>
            <w:r w:rsidR="00D43B2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Write their guesses on the board. </w:t>
            </w:r>
            <w:r w:rsidRPr="00D43B2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Have </w:t>
            </w:r>
            <w:r w:rsidR="00CF489F" w:rsidRPr="00D43B2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student</w:t>
            </w:r>
            <w:r w:rsidR="008F07D5" w:rsidRPr="00D43B2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s practise saying the ordinal numbers. Listen for and correct pronunciation errors.</w:t>
            </w:r>
          </w:p>
          <w:p w:rsidR="008F07D5" w:rsidRPr="00A93141" w:rsidRDefault="00A93141" w:rsidP="00B31145">
            <w:pPr>
              <w:pStyle w:val="a6"/>
              <w:widowControl/>
              <w:numPr>
                <w:ilvl w:val="0"/>
                <w:numId w:val="13"/>
              </w:numPr>
              <w:spacing w:before="240" w:after="240" w:line="300" w:lineRule="atLeast"/>
              <w:ind w:leftChars="0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A9314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P</w:t>
            </w:r>
            <w:r w:rsidR="008F07D5" w:rsidRPr="00A9314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lay the </w:t>
            </w:r>
            <w:r w:rsidR="0017613C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video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and s</w:t>
            </w:r>
            <w:r w:rsidR="008F07D5" w:rsidRPr="00A9314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top to check whether </w:t>
            </w:r>
            <w:r w:rsidR="00CF489F" w:rsidRPr="00A9314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student</w:t>
            </w:r>
            <w:r w:rsidR="008F07D5" w:rsidRPr="00A9314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s </w:t>
            </w:r>
            <w:r w:rsidR="0017613C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understand</w:t>
            </w:r>
            <w:r w:rsidR="008F07D5" w:rsidRPr="00A9314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why the Jade Emperor arranged the race (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Cs w:val="24"/>
              </w:rPr>
              <w:t>t</w:t>
            </w:r>
            <w:r w:rsidR="008F07D5" w:rsidRPr="00A93141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Cs w:val="24"/>
              </w:rPr>
              <w:t>o keep track of time</w:t>
            </w:r>
            <w:r w:rsidR="008F07D5" w:rsidRPr="00A9314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).</w:t>
            </w:r>
          </w:p>
          <w:p w:rsidR="008F07D5" w:rsidRPr="006F3B40" w:rsidRDefault="008F07D5" w:rsidP="00B31145">
            <w:pPr>
              <w:pStyle w:val="a6"/>
              <w:widowControl/>
              <w:numPr>
                <w:ilvl w:val="0"/>
                <w:numId w:val="13"/>
              </w:numPr>
              <w:spacing w:before="240" w:after="240" w:line="300" w:lineRule="atLeast"/>
              <w:ind w:leftChars="0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6F3B40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Ask </w:t>
            </w:r>
            <w:r w:rsidR="00CF489F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student</w:t>
            </w:r>
            <w:r w:rsidRPr="006F3B40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s</w:t>
            </w:r>
            <w:r w:rsidR="008612FF" w:rsidRPr="006F3B40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to start th</w:t>
            </w:r>
            <w:bookmarkStart w:id="0" w:name="_GoBack"/>
            <w:bookmarkEnd w:id="0"/>
            <w:r w:rsidR="008612FF" w:rsidRPr="006F3B40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e race by shouting “</w:t>
            </w:r>
            <w:r w:rsidRPr="006F3B40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Ready, steady, GO!</w:t>
            </w:r>
            <w:r w:rsidR="008612FF" w:rsidRPr="006F3B40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”</w:t>
            </w:r>
            <w:r w:rsidRPr="006F3B40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before </w:t>
            </w:r>
            <w:r w:rsidR="00622E67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playing the </w:t>
            </w:r>
            <w:r w:rsidR="0017613C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second part of the video</w:t>
            </w:r>
            <w:r w:rsidRPr="006F3B40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.</w:t>
            </w:r>
          </w:p>
          <w:p w:rsidR="008F07D5" w:rsidRPr="006F3B40" w:rsidRDefault="008F07D5" w:rsidP="00B31145">
            <w:pPr>
              <w:pStyle w:val="a6"/>
              <w:widowControl/>
              <w:numPr>
                <w:ilvl w:val="0"/>
                <w:numId w:val="13"/>
              </w:numPr>
              <w:spacing w:before="240" w:after="240" w:line="300" w:lineRule="atLeast"/>
              <w:ind w:leftChars="0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6F3B40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Go back to the list of animals </w:t>
            </w:r>
            <w:r w:rsidR="00D43B2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suggested</w:t>
            </w:r>
            <w:r w:rsidR="00622E67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by students</w:t>
            </w:r>
            <w:r w:rsidRPr="006F3B40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a</w:t>
            </w:r>
            <w:r w:rsidR="008612FF" w:rsidRPr="006F3B40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nd check to see if </w:t>
            </w:r>
            <w:r w:rsidR="00D43B2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their </w:t>
            </w:r>
            <w:r w:rsidRPr="006F3B40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guesses </w:t>
            </w:r>
            <w:r w:rsidR="00A9314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are</w:t>
            </w:r>
            <w:r w:rsidR="00A93141" w:rsidRPr="006F3B40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</w:t>
            </w:r>
            <w:r w:rsidRPr="006F3B40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correct.</w:t>
            </w:r>
          </w:p>
          <w:p w:rsidR="008F07D5" w:rsidRPr="006F3B40" w:rsidRDefault="008F07D5" w:rsidP="00B31145">
            <w:pPr>
              <w:pStyle w:val="a6"/>
              <w:widowControl/>
              <w:numPr>
                <w:ilvl w:val="0"/>
                <w:numId w:val="13"/>
              </w:numPr>
              <w:spacing w:line="300" w:lineRule="atLeast"/>
              <w:ind w:leftChars="0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6F3B40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Ask </w:t>
            </w:r>
            <w:r w:rsidR="00CF489F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student</w:t>
            </w:r>
            <w:r w:rsidRPr="006F3B40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s to complete</w:t>
            </w:r>
            <w:r w:rsidR="0017613C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the</w:t>
            </w:r>
            <w:r w:rsidRPr="006F3B40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worksheet, which checks </w:t>
            </w:r>
            <w:r w:rsidR="00871369" w:rsidRPr="006F3B40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and consolidates</w:t>
            </w:r>
            <w:r w:rsidR="00871369" w:rsidRPr="006F3B40" w:rsidDel="00CF489F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</w:t>
            </w:r>
            <w:r w:rsidR="00871369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their</w:t>
            </w:r>
            <w:r w:rsidRPr="006F3B40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understanding of the story</w:t>
            </w:r>
            <w:r w:rsidR="00871369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, and </w:t>
            </w:r>
            <w:r w:rsidRPr="006F3B40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the meaning and spelling of the key vocabulary</w:t>
            </w:r>
            <w:r w:rsidR="00813C38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items</w:t>
            </w:r>
            <w:r w:rsidRPr="006F3B40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. Play the </w:t>
            </w:r>
            <w:r w:rsidR="0017613C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video</w:t>
            </w:r>
            <w:r w:rsidRPr="006F3B40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again if </w:t>
            </w:r>
            <w:r w:rsidR="0017613C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necessary</w:t>
            </w:r>
            <w:r w:rsidRPr="006F3B40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.</w:t>
            </w:r>
          </w:p>
        </w:tc>
      </w:tr>
    </w:tbl>
    <w:p w:rsidR="008F07D5" w:rsidRPr="008612FF" w:rsidRDefault="008F07D5">
      <w:pPr>
        <w:rPr>
          <w:rFonts w:ascii="Times New Roman" w:hAnsi="Times New Roman" w:cs="Times New Roman"/>
          <w:szCs w:val="24"/>
        </w:rPr>
      </w:pPr>
    </w:p>
    <w:sectPr w:rsidR="008F07D5" w:rsidRPr="008612FF" w:rsidSect="008F07D5">
      <w:pgSz w:w="11906" w:h="16838" w:code="9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13C" w:rsidRDefault="0017613C" w:rsidP="0017613C">
      <w:r>
        <w:separator/>
      </w:r>
    </w:p>
  </w:endnote>
  <w:endnote w:type="continuationSeparator" w:id="0">
    <w:p w:rsidR="0017613C" w:rsidRDefault="0017613C" w:rsidP="0017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13C" w:rsidRDefault="0017613C" w:rsidP="0017613C">
      <w:r>
        <w:separator/>
      </w:r>
    </w:p>
  </w:footnote>
  <w:footnote w:type="continuationSeparator" w:id="0">
    <w:p w:rsidR="0017613C" w:rsidRDefault="0017613C" w:rsidP="00176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7CB4"/>
    <w:multiLevelType w:val="multilevel"/>
    <w:tmpl w:val="DEB2EC7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B514A1"/>
    <w:multiLevelType w:val="hybridMultilevel"/>
    <w:tmpl w:val="4496B4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E5E77A1"/>
    <w:multiLevelType w:val="multilevel"/>
    <w:tmpl w:val="56FE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BB383C"/>
    <w:multiLevelType w:val="hybridMultilevel"/>
    <w:tmpl w:val="E53848FC"/>
    <w:lvl w:ilvl="0" w:tplc="135C2DF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4" w15:restartNumberingAfterBreak="0">
    <w:nsid w:val="3F387FAD"/>
    <w:multiLevelType w:val="hybridMultilevel"/>
    <w:tmpl w:val="B1E2BA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2255807"/>
    <w:multiLevelType w:val="multilevel"/>
    <w:tmpl w:val="76480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C17689"/>
    <w:multiLevelType w:val="hybridMultilevel"/>
    <w:tmpl w:val="8500EA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D9B0857"/>
    <w:multiLevelType w:val="hybridMultilevel"/>
    <w:tmpl w:val="8368C4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8493253"/>
    <w:multiLevelType w:val="multilevel"/>
    <w:tmpl w:val="A30A284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C352EAE"/>
    <w:multiLevelType w:val="hybridMultilevel"/>
    <w:tmpl w:val="1B84FE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D386542"/>
    <w:multiLevelType w:val="hybridMultilevel"/>
    <w:tmpl w:val="9F0E5A64"/>
    <w:lvl w:ilvl="0" w:tplc="6DEEB2A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43A5D48"/>
    <w:multiLevelType w:val="multilevel"/>
    <w:tmpl w:val="C5FA90B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5831267"/>
    <w:multiLevelType w:val="hybridMultilevel"/>
    <w:tmpl w:val="63CE7154"/>
    <w:lvl w:ilvl="0" w:tplc="6DEEB2A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4"/>
  </w:num>
  <w:num w:numId="7">
    <w:abstractNumId w:val="1"/>
  </w:num>
  <w:num w:numId="8">
    <w:abstractNumId w:val="3"/>
  </w:num>
  <w:num w:numId="9">
    <w:abstractNumId w:val="11"/>
  </w:num>
  <w:num w:numId="10">
    <w:abstractNumId w:val="6"/>
  </w:num>
  <w:num w:numId="11">
    <w:abstractNumId w:val="10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7D5"/>
    <w:rsid w:val="0017613C"/>
    <w:rsid w:val="00185CF1"/>
    <w:rsid w:val="002B5C81"/>
    <w:rsid w:val="004A72D3"/>
    <w:rsid w:val="00500867"/>
    <w:rsid w:val="005930E9"/>
    <w:rsid w:val="00622E67"/>
    <w:rsid w:val="006E0D37"/>
    <w:rsid w:val="006F3B40"/>
    <w:rsid w:val="007443DD"/>
    <w:rsid w:val="00813C38"/>
    <w:rsid w:val="00827544"/>
    <w:rsid w:val="008612FF"/>
    <w:rsid w:val="00871369"/>
    <w:rsid w:val="008F07D5"/>
    <w:rsid w:val="00A93141"/>
    <w:rsid w:val="00B018ED"/>
    <w:rsid w:val="00B31145"/>
    <w:rsid w:val="00CC01E5"/>
    <w:rsid w:val="00CD4C28"/>
    <w:rsid w:val="00CF489F"/>
    <w:rsid w:val="00D4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FDCBE182-F1BA-48F8-BDBB-00805858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3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07D5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8F07D5"/>
    <w:rPr>
      <w:b/>
      <w:bCs/>
    </w:rPr>
  </w:style>
  <w:style w:type="paragraph" w:styleId="Web">
    <w:name w:val="Normal (Web)"/>
    <w:basedOn w:val="a"/>
    <w:uiPriority w:val="99"/>
    <w:semiHidden/>
    <w:unhideWhenUsed/>
    <w:rsid w:val="008F07D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5">
    <w:name w:val="Emphasis"/>
    <w:basedOn w:val="a0"/>
    <w:uiPriority w:val="20"/>
    <w:qFormat/>
    <w:rsid w:val="008F07D5"/>
    <w:rPr>
      <w:i/>
      <w:iCs/>
    </w:rPr>
  </w:style>
  <w:style w:type="paragraph" w:styleId="a6">
    <w:name w:val="List Paragraph"/>
    <w:basedOn w:val="a"/>
    <w:uiPriority w:val="34"/>
    <w:qFormat/>
    <w:rsid w:val="00CC01E5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CF48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F489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761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17613C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1761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17613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3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englishkids.britishcouncil.org/en/short-stories/the-great-ra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Fuk-hang Ron</dc:creator>
  <cp:keywords/>
  <dc:description/>
  <cp:lastModifiedBy>YEUNG, Li-wa</cp:lastModifiedBy>
  <cp:revision>6</cp:revision>
  <dcterms:created xsi:type="dcterms:W3CDTF">2018-10-16T04:33:00Z</dcterms:created>
  <dcterms:modified xsi:type="dcterms:W3CDTF">2019-08-14T01:31:00Z</dcterms:modified>
</cp:coreProperties>
</file>