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920D" w14:textId="69E743D2" w:rsidR="008F42AD" w:rsidRPr="00E53A37" w:rsidRDefault="00E53A37" w:rsidP="00E158E5">
      <w:pPr>
        <w:widowControl w:val="0"/>
        <w:spacing w:beforeLines="100" w:before="240" w:afterLines="20" w:after="48" w:line="240" w:lineRule="auto"/>
        <w:jc w:val="right"/>
        <w:rPr>
          <w:rFonts w:asciiTheme="minorEastAsia" w:hAnsiTheme="minorEastAsia" w:cs="PMingLiU"/>
          <w:b/>
          <w:bCs/>
          <w:spacing w:val="40"/>
          <w:w w:val="110"/>
          <w:kern w:val="2"/>
          <w:sz w:val="24"/>
          <w:szCs w:val="24"/>
          <w:lang w:eastAsia="zh-CN"/>
        </w:rPr>
      </w:pPr>
      <w:bookmarkStart w:id="0" w:name="附件10"/>
      <w:r w:rsidRPr="00E53A37">
        <w:rPr>
          <w:rFonts w:asciiTheme="minorEastAsia" w:eastAsia="SimSun" w:hAnsiTheme="minorEastAsia" w:cs="PMingLiU" w:hint="eastAsia"/>
          <w:b/>
          <w:bCs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bCs/>
          <w:spacing w:val="40"/>
          <w:w w:val="110"/>
          <w:kern w:val="2"/>
          <w:sz w:val="24"/>
          <w:szCs w:val="24"/>
          <w:lang w:eastAsia="zh-CN"/>
        </w:rPr>
        <w:t>10</w:t>
      </w:r>
    </w:p>
    <w:p w14:paraId="4D19CF5E" w14:textId="7153523D" w:rsidR="008F42AD" w:rsidRPr="00E53A37" w:rsidRDefault="00E53A37" w:rsidP="002E7B7F">
      <w:pPr>
        <w:pStyle w:val="1"/>
        <w:spacing w:before="0" w:after="200" w:line="276" w:lineRule="auto"/>
        <w:jc w:val="center"/>
        <w:rPr>
          <w:rFonts w:asciiTheme="minorEastAsia" w:eastAsiaTheme="minorEastAsia" w:hAnsiTheme="minorEastAsia" w:cs="Times New Roman"/>
          <w:noProof/>
          <w:spacing w:val="40"/>
          <w:w w:val="110"/>
          <w:kern w:val="2"/>
          <w:sz w:val="32"/>
          <w:szCs w:val="24"/>
        </w:rPr>
      </w:pPr>
      <w:bookmarkStart w:id="1" w:name="_Toc146550061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简短班主任课内容</w:t>
      </w:r>
      <w:bookmarkEnd w:id="1"/>
    </w:p>
    <w:p w14:paraId="72353066" w14:textId="157E5FB9" w:rsidR="001A44B2" w:rsidRPr="00E53A37" w:rsidRDefault="00E53A37" w:rsidP="002731E1">
      <w:pPr>
        <w:pStyle w:val="a9"/>
        <w:numPr>
          <w:ilvl w:val="0"/>
          <w:numId w:val="71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简单交代事件</w:t>
      </w:r>
    </w:p>
    <w:p w14:paraId="7D8E9E6E" w14:textId="0A644E45" w:rsidR="001A44B2" w:rsidRPr="00E53A37" w:rsidRDefault="00E53A37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交代校方已掌握的事实</w:t>
      </w:r>
    </w:p>
    <w:p w14:paraId="6360D905" w14:textId="4719DD3F" w:rsidR="001A44B2" w:rsidRPr="00E53A37" w:rsidRDefault="00E53A37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澄清失实的报导，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例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如报章的资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料</w:t>
      </w:r>
    </w:p>
    <w:p w14:paraId="157286C9" w14:textId="22017CB6" w:rsidR="001A44B2" w:rsidRPr="00E53A37" w:rsidRDefault="00E53A37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jc w:val="both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如事件涉及自杀死亡，应向学生解释事件已交由警方调查，不适宜作出任何揣测；教师应指出自杀通常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不是由</w:t>
      </w:r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单一原因所造成，大部分个案背后有复杂及长远的因素相互影响；同时教师应提醒学生</w:t>
      </w:r>
      <w:bookmarkStart w:id="2" w:name="_GoBack"/>
      <w:bookmarkEnd w:id="2"/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，遇到困难时应主动寻求协助</w:t>
      </w:r>
    </w:p>
    <w:p w14:paraId="57231E48" w14:textId="77777777" w:rsidR="009F18A3" w:rsidRPr="00E53A37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Theme="minorEastAsia" w:hAnsiTheme="minorEastAsia"/>
          <w:sz w:val="24"/>
          <w:szCs w:val="24"/>
        </w:rPr>
      </w:pPr>
    </w:p>
    <w:p w14:paraId="3448A793" w14:textId="3A7D5BA4" w:rsidR="001A44B2" w:rsidRPr="00E53A37" w:rsidRDefault="00E53A37" w:rsidP="002731E1">
      <w:pPr>
        <w:pStyle w:val="a9"/>
        <w:numPr>
          <w:ilvl w:val="0"/>
          <w:numId w:val="71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解答学生疑问</w:t>
      </w:r>
      <w:r w:rsidR="001A44B2" w:rsidRPr="00E53A37">
        <w:rPr>
          <w:rFonts w:asciiTheme="minorEastAsia" w:hAnsiTheme="minorEastAsia"/>
          <w:sz w:val="24"/>
          <w:szCs w:val="24"/>
        </w:rPr>
        <w:t xml:space="preserve"> </w:t>
      </w:r>
    </w:p>
    <w:p w14:paraId="6251862C" w14:textId="64A4195A" w:rsidR="00601D98" w:rsidRPr="00E53A37" w:rsidRDefault="00E53A37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让学生发问，回答问题时应避免描述不必要或令人不安的细节</w:t>
      </w:r>
    </w:p>
    <w:p w14:paraId="6C9522AB" w14:textId="2EF13660" w:rsidR="00601D98" w:rsidRPr="00E53A37" w:rsidRDefault="00E53A37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只给予已核实的基本资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料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及事实</w:t>
      </w:r>
    </w:p>
    <w:p w14:paraId="305FEE69" w14:textId="0B94156B" w:rsidR="00601D98" w:rsidRPr="00E53A37" w:rsidRDefault="00E53A37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尽量回答学生的问题。倘若不知道或不确定答案，可待肯定答案后，才告知他们</w:t>
      </w:r>
    </w:p>
    <w:p w14:paraId="6B4A0862" w14:textId="4DC4F62D" w:rsidR="001A44B2" w:rsidRPr="00E53A37" w:rsidRDefault="00E53A37" w:rsidP="002731E1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不要要求学生讲述其亲历事件的经过</w:t>
      </w:r>
    </w:p>
    <w:p w14:paraId="3ACC9F8F" w14:textId="77777777" w:rsidR="009F18A3" w:rsidRPr="00E53A37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Theme="minorEastAsia" w:hAnsiTheme="minorEastAsia"/>
          <w:sz w:val="24"/>
          <w:szCs w:val="24"/>
        </w:rPr>
      </w:pPr>
    </w:p>
    <w:p w14:paraId="6DA12721" w14:textId="45C1A786" w:rsidR="001A44B2" w:rsidRPr="00E53A37" w:rsidRDefault="00E53A37" w:rsidP="002731E1">
      <w:pPr>
        <w:pStyle w:val="a9"/>
        <w:numPr>
          <w:ilvl w:val="0"/>
          <w:numId w:val="71"/>
        </w:num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告诉学生寻求</w:t>
      </w:r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协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助</w:t>
      </w:r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的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途径，例如向学校辅导人员、教师或家长求助</w:t>
      </w:r>
    </w:p>
    <w:p w14:paraId="0C854184" w14:textId="77777777" w:rsidR="009F18A3" w:rsidRPr="00E53A37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Theme="minorEastAsia" w:hAnsiTheme="minorEastAsia"/>
          <w:sz w:val="24"/>
          <w:szCs w:val="24"/>
        </w:rPr>
      </w:pPr>
    </w:p>
    <w:p w14:paraId="3E7EEDA7" w14:textId="2F71D89C" w:rsidR="001A44B2" w:rsidRPr="00E53A37" w:rsidRDefault="00E53A37" w:rsidP="002E7B7F">
      <w:pPr>
        <w:widowControl w:val="0"/>
        <w:numPr>
          <w:ilvl w:val="0"/>
          <w:numId w:val="71"/>
        </w:numPr>
        <w:spacing w:line="320" w:lineRule="exact"/>
        <w:ind w:rightChars="54" w:right="119"/>
        <w:rPr>
          <w:rFonts w:asciiTheme="minorEastAsia" w:hAnsiTheme="minorEastAsia" w:cs="Times New Roman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如有需要，可以教导学生如何应对传媒查询</w:t>
      </w:r>
    </w:p>
    <w:p w14:paraId="266FF1F1" w14:textId="4CBA5D85" w:rsidR="001A44B2" w:rsidRPr="00E53A37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 w:cs="Times New Roman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学生可以选择是否回应传媒的查询</w:t>
      </w:r>
    </w:p>
    <w:p w14:paraId="2FA16EF6" w14:textId="69B9E678" w:rsidR="001A44B2" w:rsidRPr="00E53A37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 w:cs="Times New Roman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尊重当事人家人的感受，建议不要随便披露当事人及其家人的私隐</w:t>
      </w:r>
    </w:p>
    <w:p w14:paraId="07882622" w14:textId="6530F2F1" w:rsidR="00C0612B" w:rsidRPr="00E53A37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 w:cs="Times New Roman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不宜对事件作揣测或下判断</w:t>
      </w:r>
    </w:p>
    <w:p w14:paraId="2B95B7C7" w14:textId="667EF5CA" w:rsidR="00C0612B" w:rsidRPr="00E53A37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 w:cs="Times New Roman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如有需要，请传媒直接联络学校</w:t>
      </w:r>
    </w:p>
    <w:p w14:paraId="1CDC4B5A" w14:textId="77777777" w:rsidR="009F18A3" w:rsidRPr="00E53A37" w:rsidRDefault="009F18A3" w:rsidP="009F18A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958"/>
        <w:jc w:val="both"/>
        <w:rPr>
          <w:rFonts w:asciiTheme="minorEastAsia" w:hAnsiTheme="minorEastAsia"/>
          <w:sz w:val="24"/>
          <w:szCs w:val="24"/>
        </w:rPr>
      </w:pPr>
    </w:p>
    <w:p w14:paraId="430ADC92" w14:textId="620B23CE" w:rsidR="00C0612B" w:rsidRPr="00E53A37" w:rsidRDefault="00E53A37" w:rsidP="002E7B7F">
      <w:pPr>
        <w:widowControl w:val="0"/>
        <w:numPr>
          <w:ilvl w:val="0"/>
          <w:numId w:val="71"/>
        </w:numPr>
        <w:spacing w:line="320" w:lineRule="exact"/>
        <w:ind w:rightChars="54" w:right="119"/>
        <w:rPr>
          <w:rFonts w:asciiTheme="minorEastAsia" w:hAnsiTheme="minorEastAsia" w:cs="Times New Roman"/>
          <w:w w:val="110"/>
          <w:kern w:val="2"/>
          <w:sz w:val="24"/>
          <w:szCs w:val="24"/>
        </w:rPr>
      </w:pP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了解及观察学生的反应，</w:t>
      </w:r>
      <w:r w:rsidRPr="00E53A37">
        <w:rPr>
          <w:rFonts w:asciiTheme="minorEastAsia" w:hAnsiTheme="minorEastAsia" w:cs="Times New Roman" w:hint="eastAsia"/>
          <w:w w:val="110"/>
          <w:kern w:val="2"/>
          <w:sz w:val="24"/>
          <w:szCs w:val="24"/>
          <w:lang w:eastAsia="zh-CN"/>
        </w:rPr>
        <w:t>識</w:t>
      </w:r>
      <w:r w:rsidRPr="00E53A37">
        <w:rPr>
          <w:rFonts w:asciiTheme="minorEastAsia" w:eastAsia="SimSun" w:hAnsiTheme="minorEastAsia" w:cs="Times New Roman" w:hint="eastAsia"/>
          <w:w w:val="110"/>
          <w:kern w:val="2"/>
          <w:sz w:val="24"/>
          <w:szCs w:val="24"/>
          <w:lang w:eastAsia="zh-CN"/>
        </w:rPr>
        <w:t>别有需要的学生作进一步的了解及支援</w:t>
      </w:r>
    </w:p>
    <w:p w14:paraId="12BCAC80" w14:textId="6BDA6104" w:rsidR="00C0612B" w:rsidRPr="00E53A37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留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意某些学生是否有过分强烈的情绪或行为反应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如抑郁、愤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怒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、自责或埋怨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6B326DB5" w14:textId="4356612D" w:rsidR="00C0612B" w:rsidRPr="00E53A37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留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意当事人的好朋友，男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/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女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朋友、兄弟姊妹或与当事人不和的同学对事件的反应和</w:t>
      </w:r>
      <w:r w:rsidRPr="00E53A37">
        <w:rPr>
          <w:rFonts w:asciiTheme="minorEastAsia" w:hAnsiTheme="minorEastAsia" w:hint="eastAsia"/>
          <w:sz w:val="24"/>
          <w:szCs w:val="24"/>
          <w:lang w:eastAsia="zh-CN"/>
        </w:rPr>
        <w:t>行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为表现</w:t>
      </w:r>
    </w:p>
    <w:p w14:paraId="08A7B656" w14:textId="5B9EF637" w:rsidR="00C0612B" w:rsidRPr="00E53A37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如事件涉及自杀死亡，留意有没有学生认同死者的自杀行为</w:t>
      </w:r>
    </w:p>
    <w:p w14:paraId="250AC534" w14:textId="0905AC70" w:rsidR="00C0612B" w:rsidRPr="00BA70A8" w:rsidRDefault="00E53A37" w:rsidP="002E7B7F">
      <w:pPr>
        <w:pStyle w:val="a9"/>
        <w:widowControl w:val="0"/>
        <w:numPr>
          <w:ilvl w:val="1"/>
          <w:numId w:val="22"/>
        </w:numPr>
        <w:autoSpaceDE w:val="0"/>
        <w:autoSpaceDN w:val="0"/>
        <w:adjustRightInd w:val="0"/>
        <w:spacing w:after="48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转介有需要进一步支援的学生给学校辅导人员</w:t>
      </w:r>
    </w:p>
    <w:sectPr w:rsidR="00C0612B" w:rsidRPr="00BA70A8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25BF8" w14:textId="77777777" w:rsidR="003D1880" w:rsidRDefault="003D1880" w:rsidP="001D5E00">
      <w:pPr>
        <w:spacing w:after="0" w:line="240" w:lineRule="auto"/>
      </w:pPr>
      <w:r>
        <w:separator/>
      </w:r>
    </w:p>
    <w:p w14:paraId="7C1EFC73" w14:textId="77777777" w:rsidR="003D1880" w:rsidRDefault="003D1880"/>
  </w:endnote>
  <w:endnote w:type="continuationSeparator" w:id="0">
    <w:p w14:paraId="4C01C67A" w14:textId="77777777" w:rsidR="003D1880" w:rsidRDefault="003D1880" w:rsidP="001D5E00">
      <w:pPr>
        <w:spacing w:after="0" w:line="240" w:lineRule="auto"/>
      </w:pPr>
      <w:r>
        <w:continuationSeparator/>
      </w:r>
    </w:p>
    <w:p w14:paraId="7B28152D" w14:textId="77777777" w:rsidR="003D1880" w:rsidRDefault="003D1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18911454" w:rsidR="00165DB5" w:rsidRDefault="00165DB5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3B2" w:rsidRPr="00D733B2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B765" w14:textId="77777777" w:rsidR="003D1880" w:rsidRDefault="003D1880" w:rsidP="001D5E00">
      <w:pPr>
        <w:spacing w:after="0" w:line="240" w:lineRule="auto"/>
      </w:pPr>
      <w:r>
        <w:separator/>
      </w:r>
    </w:p>
    <w:p w14:paraId="52335C41" w14:textId="77777777" w:rsidR="003D1880" w:rsidRDefault="003D1880"/>
  </w:footnote>
  <w:footnote w:type="continuationSeparator" w:id="0">
    <w:p w14:paraId="69D63E74" w14:textId="77777777" w:rsidR="003D1880" w:rsidRDefault="003D1880" w:rsidP="001D5E00">
      <w:pPr>
        <w:spacing w:after="0" w:line="240" w:lineRule="auto"/>
      </w:pPr>
      <w:r>
        <w:continuationSeparator/>
      </w:r>
    </w:p>
    <w:p w14:paraId="5B26C773" w14:textId="77777777" w:rsidR="003D1880" w:rsidRDefault="003D18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6156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880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014F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33B2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PMingLiU" w:eastAsia="PMingLiU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7D8DA-7F0F-4AC1-AFF2-2CE98918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EPS(K1)</cp:lastModifiedBy>
  <cp:revision>4</cp:revision>
  <cp:lastPrinted>2023-09-25T01:13:00Z</cp:lastPrinted>
  <dcterms:created xsi:type="dcterms:W3CDTF">2023-09-26T03:54:00Z</dcterms:created>
  <dcterms:modified xsi:type="dcterms:W3CDTF">2024-03-14T03:01:00Z</dcterms:modified>
</cp:coreProperties>
</file>