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A359F" w14:textId="2D535F9B" w:rsidR="001531CD" w:rsidRPr="00E53A37" w:rsidRDefault="00E53A37" w:rsidP="008C68FE">
      <w:pPr>
        <w:pStyle w:val="a0"/>
        <w:spacing w:after="240"/>
        <w:ind w:right="29"/>
        <w:jc w:val="right"/>
        <w:rPr>
          <w:rFonts w:asciiTheme="minorEastAsia" w:eastAsiaTheme="minorEastAsia" w:hAnsiTheme="minorEastAsia"/>
          <w:sz w:val="24"/>
        </w:rPr>
      </w:pPr>
      <w:bookmarkStart w:id="0" w:name="參考資料1B"/>
      <w:bookmarkStart w:id="1" w:name="_GoBack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 xml:space="preserve"> 1B</w:t>
      </w:r>
      <w:bookmarkEnd w:id="1"/>
    </w:p>
    <w:p w14:paraId="45E7D008" w14:textId="04885C3C" w:rsidR="001531C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73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危机发生后常见的初期反应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(</w:t>
      </w:r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青少年</w:t>
      </w:r>
      <w:r w:rsidRPr="00E53A37">
        <w:rPr>
          <w:rFonts w:asciiTheme="minorEastAsia" w:eastAsia="SimSun" w:hAnsiTheme="minorEastAsia"/>
          <w:noProof/>
          <w:spacing w:val="40"/>
          <w:w w:val="110"/>
          <w:sz w:val="32"/>
          <w:szCs w:val="32"/>
          <w:lang w:eastAsia="zh-CN"/>
        </w:rPr>
        <w:t>)</w:t>
      </w:r>
      <w:bookmarkEnd w:id="2"/>
    </w:p>
    <w:p w14:paraId="69249061" w14:textId="005E7FCD" w:rsidR="001531CD" w:rsidRPr="00E53A37" w:rsidRDefault="00E53A37" w:rsidP="001531CD">
      <w:pPr>
        <w:ind w:rightChars="12" w:right="26" w:firstLine="579"/>
        <w:jc w:val="both"/>
        <w:rPr>
          <w:rFonts w:asciiTheme="minorEastAsia" w:hAnsiTheme="minorEastAsia"/>
          <w:sz w:val="24"/>
          <w:szCs w:val="24"/>
          <w:lang w:eastAsia="zh-HK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面对危机事件，青少年在生理、认知、情绪、行为和社交方面出现下列反应是常见的。在大多数的情况下，如青少年有家人、师长和朋辈的支持，这些常见的反应大约会在数天至数星期内减退。若留意到青少年有</w:t>
      </w:r>
      <w:r w:rsidRPr="00E53A37">
        <w:rPr>
          <w:rFonts w:asciiTheme="minorEastAsia" w:eastAsia="SimSun" w:hAnsiTheme="minorEastAsia" w:cs="PMingLiU" w:hint="eastAsia"/>
          <w:spacing w:val="-1"/>
          <w:sz w:val="24"/>
          <w:szCs w:val="24"/>
          <w:lang w:eastAsia="zh-CN"/>
        </w:rPr>
        <w:t>过分强烈或持续的反应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（详见参考资料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1D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），家长及教师</w:t>
      </w:r>
      <w:r w:rsidRPr="00E53A37">
        <w:rPr>
          <w:rFonts w:asciiTheme="minorEastAsia" w:eastAsia="SimSun" w:hAnsiTheme="minorEastAsia" w:cs="PMingLiU" w:hint="eastAsia"/>
          <w:sz w:val="24"/>
          <w:szCs w:val="24"/>
          <w:lang w:eastAsia="zh-CN"/>
        </w:rPr>
        <w:t>应寻求辅导人员的支援。</w:t>
      </w:r>
      <w:r w:rsidR="001531CD" w:rsidRPr="00E53A37">
        <w:rPr>
          <w:rFonts w:asciiTheme="minorEastAsia" w:hAnsiTheme="minorEastAsia"/>
          <w:sz w:val="24"/>
          <w:szCs w:val="24"/>
          <w:lang w:eastAsia="zh-HK"/>
        </w:rPr>
        <w:t xml:space="preserve"> </w:t>
      </w:r>
    </w:p>
    <w:tbl>
      <w:tblPr>
        <w:tblStyle w:val="TableNormal1"/>
        <w:tblW w:w="10490" w:type="dxa"/>
        <w:tblInd w:w="-5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245"/>
      </w:tblGrid>
      <w:tr w:rsidR="001531CD" w:rsidRPr="00E53A37" w14:paraId="0396D1E1" w14:textId="77777777" w:rsidTr="00CC5348">
        <w:trPr>
          <w:trHeight w:val="560"/>
        </w:trPr>
        <w:tc>
          <w:tcPr>
            <w:tcW w:w="5245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C3D266" w14:textId="382D3037" w:rsidR="001531CD" w:rsidRPr="00E53A37" w:rsidRDefault="00E53A37" w:rsidP="002E7B7F">
            <w:pPr>
              <w:ind w:leftChars="108" w:left="238" w:rightChars="61" w:right="13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生理方面</w:t>
            </w:r>
          </w:p>
        </w:tc>
        <w:tc>
          <w:tcPr>
            <w:tcW w:w="5245" w:type="dxa"/>
            <w:tcBorders>
              <w:top w:val="single" w:sz="18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6B61E2" w14:textId="584A7611" w:rsidR="001531CD" w:rsidRPr="00E53A37" w:rsidRDefault="00E53A37" w:rsidP="002E7B7F">
            <w:pPr>
              <w:ind w:leftChars="106" w:left="233" w:rightChars="74" w:right="16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认知方面</w:t>
            </w:r>
          </w:p>
        </w:tc>
      </w:tr>
      <w:tr w:rsidR="001531CD" w:rsidRPr="00E53A37" w14:paraId="7E9CAD69" w14:textId="77777777" w:rsidTr="00CC5348">
        <w:trPr>
          <w:trHeight w:val="692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4BFE4FBF" w14:textId="112CBECC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身体不适（如头痛、肠胃问题等）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6463643" w14:textId="2D44025F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难以集中精神、思想混乱、判断或组织能力减弱</w:t>
            </w:r>
          </w:p>
        </w:tc>
      </w:tr>
      <w:tr w:rsidR="001531CD" w:rsidRPr="00E53A37" w14:paraId="77DD5B5D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5BB585C3" w14:textId="27B7F718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饮食模式改变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如食量突然增加或减少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DD963FA" w14:textId="2866B48F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反复想起创伤事故的场面</w:t>
            </w:r>
          </w:p>
        </w:tc>
      </w:tr>
      <w:tr w:rsidR="001531CD" w:rsidRPr="00E53A37" w14:paraId="6D2FEF19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0206EE0F" w14:textId="59CC8D2F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睡眠困难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EE75EE2" w14:textId="20CF8AD5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变得善忘，或者记忆力减退</w:t>
            </w:r>
          </w:p>
        </w:tc>
      </w:tr>
      <w:tr w:rsidR="001531CD" w:rsidRPr="00E53A37" w14:paraId="48DE53EA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62F4919C" w14:textId="3CFA9583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疲累，提不起劲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5B82ED81" w14:textId="55D78384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发恶梦</w:t>
            </w:r>
          </w:p>
        </w:tc>
      </w:tr>
      <w:tr w:rsidR="001531CD" w:rsidRPr="00E53A37" w14:paraId="0D7C532C" w14:textId="77777777" w:rsidTr="00CC5348">
        <w:trPr>
          <w:trHeight w:val="692"/>
        </w:trPr>
        <w:tc>
          <w:tcPr>
            <w:tcW w:w="5245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144620FC" w14:textId="2F93ACBD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紧张状态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如心跳加速、出汗、肌肉紧张等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245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14:paraId="616C2961" w14:textId="47A84969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自责、担心</w:t>
            </w:r>
          </w:p>
        </w:tc>
      </w:tr>
      <w:tr w:rsidR="001531CD" w:rsidRPr="00E53A37" w14:paraId="7284A213" w14:textId="77777777" w:rsidTr="00CC5348">
        <w:trPr>
          <w:trHeight w:val="560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8F65CB" w14:textId="61374412" w:rsidR="001531CD" w:rsidRPr="00E53A37" w:rsidRDefault="00E53A37" w:rsidP="002E7B7F">
            <w:pPr>
              <w:ind w:leftChars="108" w:left="238" w:rightChars="61" w:right="13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情绪方面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412066" w14:textId="1D8A634E" w:rsidR="001531CD" w:rsidRPr="00E53A37" w:rsidRDefault="00E53A37" w:rsidP="002E7B7F">
            <w:pPr>
              <w:ind w:leftChars="106" w:left="233" w:rightChars="74" w:right="163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行为方面</w:t>
            </w:r>
          </w:p>
        </w:tc>
      </w:tr>
      <w:tr w:rsidR="001531CD" w:rsidRPr="00E53A37" w14:paraId="0535B944" w14:textId="77777777" w:rsidTr="00CC5348">
        <w:trPr>
          <w:trHeight w:val="654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14:paraId="654A9582" w14:textId="4914FEA1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感到哀伤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如闷闷不乐、沉默寡言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14:paraId="79567790" w14:textId="540E0BBE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逃避接触有关创伤事故的事物</w:t>
            </w:r>
          </w:p>
        </w:tc>
      </w:tr>
      <w:tr w:rsidR="001531CD" w:rsidRPr="00E53A37" w14:paraId="3D2930E3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7911132E" w14:textId="0846D4E1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感到惊慌，缺乏安全感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1F19D5BB" w14:textId="42B125FC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言语或行为有攻击性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531CD" w:rsidRPr="00E53A37" w14:paraId="3295C48F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70455904" w14:textId="3D7EFCCE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感到震惊、愤怒、失望、内疚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2F74E584" w14:textId="51455FF6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出现对抗行为</w:t>
            </w:r>
          </w:p>
        </w:tc>
      </w:tr>
      <w:tr w:rsidR="001531CD" w:rsidRPr="00E53A37" w14:paraId="2E766B0A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</w:tcBorders>
            <w:vAlign w:val="center"/>
          </w:tcPr>
          <w:p w14:paraId="36A25FFE" w14:textId="2671C140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情绪不稳定，容易有起伏</w:t>
            </w:r>
            <w:r w:rsidRPr="00E53A37">
              <w:rPr>
                <w:rFonts w:asciiTheme="minorEastAsia" w:eastAsia="SimSun" w:hAnsiTheme="minorEastAsia"/>
                <w:sz w:val="24"/>
                <w:szCs w:val="24"/>
                <w:lang w:eastAsia="zh-CN"/>
              </w:rPr>
              <w:t xml:space="preserve"> (</w:t>
            </w: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如容易烦躁、发怒、哭泣、闹情绪等）</w:t>
            </w:r>
          </w:p>
        </w:tc>
        <w:tc>
          <w:tcPr>
            <w:tcW w:w="5245" w:type="dxa"/>
            <w:tcBorders>
              <w:right w:val="single" w:sz="24" w:space="0" w:color="auto"/>
            </w:tcBorders>
            <w:vAlign w:val="center"/>
          </w:tcPr>
          <w:p w14:paraId="0E49560A" w14:textId="4024AAA9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倒退行为，表现与年纪不符（如不注重个人卫生、逃避责任等）</w:t>
            </w:r>
          </w:p>
        </w:tc>
      </w:tr>
      <w:tr w:rsidR="001531CD" w:rsidRPr="00E53A37" w14:paraId="45C9F0B9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  <w:bottom w:val="single" w:sz="4" w:space="0" w:color="000000"/>
            </w:tcBorders>
            <w:vAlign w:val="center"/>
          </w:tcPr>
          <w:p w14:paraId="0FF53B53" w14:textId="67EA9716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感到麻木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24" w:space="0" w:color="auto"/>
            </w:tcBorders>
            <w:vAlign w:val="center"/>
          </w:tcPr>
          <w:p w14:paraId="4DF186B7" w14:textId="5CCCF723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学业成绩或功课表现退步</w:t>
            </w:r>
          </w:p>
        </w:tc>
      </w:tr>
      <w:tr w:rsidR="001531CD" w:rsidRPr="00E53A37" w14:paraId="1346078C" w14:textId="77777777" w:rsidTr="00CC5348">
        <w:trPr>
          <w:trHeight w:val="654"/>
        </w:trPr>
        <w:tc>
          <w:tcPr>
            <w:tcW w:w="5245" w:type="dxa"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14:paraId="6F24C5AA" w14:textId="0E8FE418" w:rsidR="001531CD" w:rsidRPr="00E53A37" w:rsidRDefault="001531CD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524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0C01081" w14:textId="17D2E8AB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不愿意上学</w:t>
            </w:r>
          </w:p>
        </w:tc>
      </w:tr>
      <w:tr w:rsidR="001531CD" w:rsidRPr="00E53A37" w14:paraId="375736EF" w14:textId="77777777" w:rsidTr="00CC5348">
        <w:trPr>
          <w:trHeight w:val="567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9C41E2" w14:textId="2A16F032" w:rsidR="001531CD" w:rsidRPr="00E53A37" w:rsidRDefault="00E53A37" w:rsidP="002E7B7F">
            <w:pPr>
              <w:ind w:leftChars="108" w:left="238" w:rightChars="61" w:right="134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53A37">
              <w:rPr>
                <w:rFonts w:asciiTheme="minorEastAsia" w:eastAsia="SimSun" w:hAnsiTheme="minorEastAsia" w:hint="eastAsia"/>
                <w:b/>
                <w:sz w:val="24"/>
                <w:szCs w:val="24"/>
                <w:lang w:eastAsia="zh-CN"/>
              </w:rPr>
              <w:t>社交方面</w:t>
            </w:r>
          </w:p>
        </w:tc>
        <w:tc>
          <w:tcPr>
            <w:tcW w:w="5245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05981B2D" w14:textId="77777777" w:rsidR="001531CD" w:rsidRPr="00E53A37" w:rsidRDefault="001531CD" w:rsidP="002E7B7F">
            <w:pPr>
              <w:ind w:leftChars="106" w:left="233" w:rightChars="74" w:right="16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31CD" w:rsidRPr="00E53A37" w14:paraId="4C6AFA84" w14:textId="77777777" w:rsidTr="00CC5348">
        <w:trPr>
          <w:trHeight w:val="558"/>
        </w:trPr>
        <w:tc>
          <w:tcPr>
            <w:tcW w:w="5245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E34CE5" w14:textId="7F661A8B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离群独处，不愿意与其他人接触</w:t>
            </w:r>
          </w:p>
        </w:tc>
        <w:tc>
          <w:tcPr>
            <w:tcW w:w="524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5609AE27" w14:textId="77777777" w:rsidR="001531CD" w:rsidRPr="00E53A37" w:rsidRDefault="001531CD" w:rsidP="002E7B7F">
            <w:pPr>
              <w:ind w:leftChars="106" w:left="233" w:rightChars="74" w:right="163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1531CD" w:rsidRPr="00E53A37" w14:paraId="60D4B697" w14:textId="77777777" w:rsidTr="00CC5348">
        <w:trPr>
          <w:trHeight w:val="558"/>
        </w:trPr>
        <w:tc>
          <w:tcPr>
            <w:tcW w:w="52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D64527A" w14:textId="4A54720D" w:rsidR="001531CD" w:rsidRPr="00E53A37" w:rsidRDefault="00E53A37" w:rsidP="002E7B7F">
            <w:pPr>
              <w:ind w:leftChars="38" w:left="84" w:rightChars="45" w:right="99"/>
              <w:rPr>
                <w:rFonts w:asciiTheme="minorEastAsia" w:hAnsiTheme="minorEastAsia"/>
                <w:sz w:val="24"/>
                <w:szCs w:val="24"/>
                <w:lang w:eastAsia="zh-TW"/>
              </w:rPr>
            </w:pPr>
            <w:r w:rsidRPr="00E53A37"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  <w:t>容易与人产生冲突</w:t>
            </w:r>
          </w:p>
        </w:tc>
        <w:tc>
          <w:tcPr>
            <w:tcW w:w="5245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2CBCC4C0" w14:textId="77777777" w:rsidR="001531CD" w:rsidRPr="00E53A37" w:rsidRDefault="001531CD" w:rsidP="002E7B7F">
            <w:pPr>
              <w:ind w:leftChars="106" w:left="233" w:rightChars="74" w:right="16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F13089" w14:textId="28EE7152" w:rsidR="00AD3984" w:rsidRPr="00923377" w:rsidRDefault="00AD3984" w:rsidP="00923377">
      <w:pPr>
        <w:pStyle w:val="a0"/>
        <w:spacing w:after="240"/>
        <w:ind w:right="789"/>
        <w:jc w:val="left"/>
        <w:rPr>
          <w:rFonts w:asciiTheme="minorEastAsia" w:eastAsiaTheme="minorEastAsia" w:hAnsiTheme="minorEastAsia" w:hint="eastAsia"/>
        </w:rPr>
      </w:pPr>
    </w:p>
    <w:sectPr w:rsidR="00AD3984" w:rsidRPr="0092337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63A44" w14:textId="77777777" w:rsidR="007444F8" w:rsidRDefault="007444F8" w:rsidP="001D5E00">
      <w:pPr>
        <w:spacing w:after="0" w:line="240" w:lineRule="auto"/>
      </w:pPr>
      <w:r>
        <w:separator/>
      </w:r>
    </w:p>
    <w:p w14:paraId="62C5FBDF" w14:textId="77777777" w:rsidR="007444F8" w:rsidRDefault="007444F8"/>
  </w:endnote>
  <w:endnote w:type="continuationSeparator" w:id="0">
    <w:p w14:paraId="593C3CAE" w14:textId="77777777" w:rsidR="007444F8" w:rsidRDefault="007444F8" w:rsidP="001D5E00">
      <w:pPr>
        <w:spacing w:after="0" w:line="240" w:lineRule="auto"/>
      </w:pPr>
      <w:r>
        <w:continuationSeparator/>
      </w:r>
    </w:p>
    <w:p w14:paraId="76F0C9E8" w14:textId="77777777" w:rsidR="007444F8" w:rsidRDefault="007444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43C5F7E8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377" w:rsidRPr="00923377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52CEE" w14:textId="77777777" w:rsidR="007444F8" w:rsidRDefault="007444F8" w:rsidP="001D5E00">
      <w:pPr>
        <w:spacing w:after="0" w:line="240" w:lineRule="auto"/>
      </w:pPr>
      <w:r>
        <w:separator/>
      </w:r>
    </w:p>
    <w:p w14:paraId="261969E6" w14:textId="77777777" w:rsidR="007444F8" w:rsidRDefault="007444F8"/>
  </w:footnote>
  <w:footnote w:type="continuationSeparator" w:id="0">
    <w:p w14:paraId="01C87507" w14:textId="77777777" w:rsidR="007444F8" w:rsidRDefault="007444F8" w:rsidP="001D5E00">
      <w:pPr>
        <w:spacing w:after="0" w:line="240" w:lineRule="auto"/>
      </w:pPr>
      <w:r>
        <w:continuationSeparator/>
      </w:r>
    </w:p>
    <w:p w14:paraId="023E387B" w14:textId="77777777" w:rsidR="007444F8" w:rsidRDefault="007444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44F8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3377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05DCC-D540-4510-98FA-759D110F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2023-09-26T04:02:00Z</dcterms:created>
  <dcterms:modified xsi:type="dcterms:W3CDTF">2023-09-26T04:02:00Z</dcterms:modified>
</cp:coreProperties>
</file>