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4B" w:rsidRPr="00D312A6" w:rsidRDefault="0055037A" w:rsidP="00D248B5">
      <w:pPr>
        <w:spacing w:before="120" w:line="400" w:lineRule="exact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bookmarkStart w:id="0" w:name="_GoBack"/>
      <w:bookmarkEnd w:id="0"/>
      <w:r w:rsidRPr="00D312A6">
        <w:rPr>
          <w:rFonts w:ascii="標楷體" w:eastAsia="標楷體" w:hAnsi="標楷體" w:hint="eastAsia"/>
          <w:b/>
          <w:spacing w:val="20"/>
          <w:sz w:val="36"/>
          <w:szCs w:val="36"/>
        </w:rPr>
        <w:t>通達學普：中小學普通話自學軟件</w:t>
      </w:r>
    </w:p>
    <w:p w:rsidR="0055037A" w:rsidRPr="00D248B5" w:rsidRDefault="007334F6" w:rsidP="00D248B5">
      <w:pPr>
        <w:spacing w:before="120" w:line="400" w:lineRule="exact"/>
        <w:rPr>
          <w:rFonts w:ascii="標楷體" w:eastAsia="標楷體" w:hAnsi="標楷體"/>
          <w:spacing w:val="20"/>
          <w:sz w:val="28"/>
          <w:szCs w:val="28"/>
        </w:rPr>
      </w:pPr>
      <w:r w:rsidRPr="00D248B5">
        <w:rPr>
          <w:rFonts w:ascii="標楷體" w:eastAsia="標楷體" w:hAnsi="標楷體" w:hint="eastAsi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</wp:posOffset>
                </wp:positionV>
                <wp:extent cx="1819275" cy="2606040"/>
                <wp:effectExtent l="0" t="0" r="444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C2B" w:rsidRDefault="007334F6" w:rsidP="005503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7665" cy="2313940"/>
                                  <wp:effectExtent l="0" t="0" r="0" b="0"/>
                                  <wp:docPr id="1" name="圖片 1" descr="tongda_co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ngda_co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665" cy="231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pt;margin-top:1pt;width:143.25pt;height:20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" stroked="f">
                <v:textbox style="mso-fit-shape-to-text:t">
                  <w:txbxContent>
                    <w:p w:rsidR="00F84C2B" w:rsidRDefault="007334F6" w:rsidP="005503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37665" cy="2313940"/>
                            <wp:effectExtent l="0" t="0" r="0" b="0"/>
                            <wp:docPr id="1" name="圖片 1" descr="tongda_co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ngda_cov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665" cy="231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037A" w:rsidRPr="00D248B5" w:rsidRDefault="0055037A" w:rsidP="00D248B5">
      <w:pPr>
        <w:spacing w:before="120" w:line="40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55037A" w:rsidRPr="00D248B5" w:rsidRDefault="0055037A" w:rsidP="00D248B5">
      <w:pPr>
        <w:spacing w:before="120" w:line="40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</w:p>
    <w:p w:rsidR="0055037A" w:rsidRPr="00D248B5" w:rsidRDefault="0055037A" w:rsidP="00D248B5">
      <w:pPr>
        <w:spacing w:before="120" w:line="40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55037A" w:rsidRPr="00D248B5" w:rsidRDefault="0055037A" w:rsidP="00D248B5">
      <w:pPr>
        <w:spacing w:before="120" w:line="40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55037A" w:rsidRPr="00D248B5" w:rsidRDefault="0055037A" w:rsidP="00D248B5">
      <w:pPr>
        <w:spacing w:before="120" w:line="40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55037A" w:rsidRPr="00D248B5" w:rsidRDefault="0055037A" w:rsidP="00D248B5">
      <w:pPr>
        <w:spacing w:before="120" w:line="40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D248B5" w:rsidRPr="00D248B5" w:rsidRDefault="00D248B5" w:rsidP="00D248B5">
      <w:pPr>
        <w:spacing w:before="120" w:line="40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55037A" w:rsidRPr="00D248B5" w:rsidRDefault="0055037A" w:rsidP="00D248B5">
      <w:pPr>
        <w:spacing w:before="120" w:line="400" w:lineRule="exact"/>
        <w:ind w:left="540" w:hanging="540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D248B5">
        <w:rPr>
          <w:rFonts w:eastAsia="標楷體"/>
          <w:spacing w:val="20"/>
          <w:sz w:val="28"/>
          <w:szCs w:val="28"/>
        </w:rPr>
        <w:t>1.</w:t>
      </w:r>
      <w:r w:rsidRPr="00D248B5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D248B5">
        <w:rPr>
          <w:rFonts w:ascii="標楷體" w:eastAsia="標楷體" w:hAnsi="標楷體"/>
          <w:spacing w:val="20"/>
          <w:sz w:val="28"/>
          <w:szCs w:val="28"/>
        </w:rPr>
        <w:tab/>
      </w:r>
      <w:r w:rsidRPr="00D248B5">
        <w:rPr>
          <w:rFonts w:ascii="標楷體" w:eastAsia="標楷體" w:hAnsi="標楷體" w:hint="eastAsia"/>
          <w:spacing w:val="20"/>
          <w:sz w:val="28"/>
          <w:szCs w:val="28"/>
        </w:rPr>
        <w:t>「通達學普」</w:t>
      </w:r>
      <w:r w:rsidR="00F1689B">
        <w:rPr>
          <w:rFonts w:ascii="標楷體" w:eastAsia="標楷體" w:hAnsi="標楷體" w:hint="eastAsia"/>
          <w:spacing w:val="20"/>
          <w:sz w:val="28"/>
          <w:szCs w:val="28"/>
        </w:rPr>
        <w:t>軟件</w:t>
      </w:r>
      <w:r w:rsidR="004D7E26" w:rsidRPr="00D248B5">
        <w:rPr>
          <w:rFonts w:ascii="標楷體" w:eastAsia="標楷體" w:hAnsi="標楷體" w:hint="eastAsia"/>
          <w:spacing w:val="20"/>
          <w:sz w:val="28"/>
          <w:szCs w:val="28"/>
        </w:rPr>
        <w:t>配合</w:t>
      </w:r>
      <w:r w:rsidR="00F1689B">
        <w:rPr>
          <w:rFonts w:ascii="標楷體" w:eastAsia="標楷體" w:hAnsi="標楷體" w:hint="eastAsia"/>
          <w:spacing w:val="20"/>
          <w:sz w:val="28"/>
          <w:szCs w:val="28"/>
        </w:rPr>
        <w:t>香港中</w:t>
      </w:r>
      <w:r w:rsidR="004D7E26" w:rsidRPr="00D248B5">
        <w:rPr>
          <w:rFonts w:ascii="標楷體" w:eastAsia="標楷體" w:hAnsi="標楷體" w:hint="eastAsia"/>
          <w:spacing w:val="20"/>
          <w:sz w:val="28"/>
          <w:szCs w:val="28"/>
        </w:rPr>
        <w:t>小學普通話課程而製作</w:t>
      </w:r>
      <w:r w:rsidR="00F1689B">
        <w:rPr>
          <w:rFonts w:ascii="標楷體" w:eastAsia="標楷體" w:hAnsi="標楷體" w:hint="eastAsia"/>
          <w:spacing w:val="20"/>
          <w:sz w:val="28"/>
          <w:szCs w:val="28"/>
        </w:rPr>
        <w:t>，</w:t>
      </w:r>
      <w:r w:rsidR="004D7E26" w:rsidRPr="00D248B5">
        <w:rPr>
          <w:rFonts w:ascii="標楷體" w:eastAsia="標楷體" w:hAnsi="標楷體" w:hint="eastAsia"/>
          <w:spacing w:val="20"/>
          <w:sz w:val="28"/>
          <w:szCs w:val="28"/>
        </w:rPr>
        <w:t>讓學生透過</w:t>
      </w:r>
      <w:r w:rsidR="00F1689B">
        <w:rPr>
          <w:rFonts w:ascii="標楷體" w:eastAsia="標楷體" w:hAnsi="標楷體" w:hint="eastAsia"/>
          <w:spacing w:val="20"/>
          <w:sz w:val="28"/>
          <w:szCs w:val="28"/>
        </w:rPr>
        <w:t>篇</w:t>
      </w:r>
      <w:r w:rsidR="004D7E26" w:rsidRPr="00D248B5">
        <w:rPr>
          <w:rFonts w:ascii="標楷體" w:eastAsia="標楷體" w:hAnsi="標楷體" w:hint="eastAsia"/>
          <w:spacing w:val="20"/>
          <w:sz w:val="28"/>
          <w:szCs w:val="28"/>
        </w:rPr>
        <w:t>章朗讀和互動學習</w:t>
      </w:r>
      <w:r w:rsidR="00F1689B">
        <w:rPr>
          <w:rFonts w:ascii="標楷體" w:eastAsia="標楷體" w:hAnsi="標楷體" w:hint="eastAsia"/>
          <w:spacing w:val="20"/>
          <w:sz w:val="28"/>
          <w:szCs w:val="28"/>
        </w:rPr>
        <w:t>，</w:t>
      </w:r>
      <w:r w:rsidR="004D7E26" w:rsidRPr="00D248B5">
        <w:rPr>
          <w:rFonts w:ascii="標楷體" w:eastAsia="標楷體" w:hAnsi="標楷體" w:hint="eastAsia"/>
          <w:spacing w:val="20"/>
          <w:sz w:val="28"/>
          <w:szCs w:val="28"/>
        </w:rPr>
        <w:t>提升普通話水平。</w:t>
      </w:r>
    </w:p>
    <w:p w:rsidR="0055037A" w:rsidRPr="00D248B5" w:rsidRDefault="0055037A" w:rsidP="00D248B5">
      <w:pPr>
        <w:spacing w:before="120"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:rsidR="0055037A" w:rsidRPr="00D248B5" w:rsidRDefault="0055037A" w:rsidP="00D248B5">
      <w:pPr>
        <w:tabs>
          <w:tab w:val="left" w:pos="540"/>
        </w:tabs>
        <w:spacing w:before="120"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D248B5">
        <w:rPr>
          <w:rFonts w:eastAsia="標楷體"/>
          <w:spacing w:val="20"/>
          <w:sz w:val="28"/>
          <w:szCs w:val="28"/>
        </w:rPr>
        <w:t>2.</w:t>
      </w:r>
      <w:r w:rsidRPr="00D248B5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D248B5">
        <w:rPr>
          <w:rFonts w:ascii="標楷體" w:eastAsia="標楷體" w:hAnsi="標楷體"/>
          <w:spacing w:val="20"/>
          <w:sz w:val="28"/>
          <w:szCs w:val="28"/>
        </w:rPr>
        <w:tab/>
      </w:r>
      <w:r w:rsidR="004D7E26" w:rsidRPr="00D248B5">
        <w:rPr>
          <w:rFonts w:ascii="標楷體" w:eastAsia="標楷體" w:hAnsi="標楷體" w:hint="eastAsia"/>
          <w:spacing w:val="20"/>
          <w:sz w:val="28"/>
          <w:szCs w:val="28"/>
        </w:rPr>
        <w:t>「通達學普」的內容包括：</w:t>
      </w:r>
    </w:p>
    <w:p w:rsidR="00D248B5" w:rsidRPr="00D248B5" w:rsidRDefault="00D248B5" w:rsidP="00D248B5">
      <w:pPr>
        <w:pStyle w:val="Bullet"/>
        <w:tabs>
          <w:tab w:val="clear" w:pos="240"/>
          <w:tab w:val="clear" w:pos="480"/>
          <w:tab w:val="left" w:pos="540"/>
        </w:tabs>
        <w:spacing w:before="120" w:afterLines="0" w:after="0" w:line="400" w:lineRule="exact"/>
        <w:ind w:left="1080" w:hanging="540"/>
        <w:jc w:val="both"/>
        <w:rPr>
          <w:rFonts w:ascii="標楷體" w:eastAsia="標楷體" w:hAnsi="標楷體"/>
          <w:noProof w:val="0"/>
          <w:spacing w:val="20"/>
          <w:kern w:val="2"/>
          <w:sz w:val="28"/>
          <w:szCs w:val="28"/>
        </w:rPr>
      </w:pPr>
      <w:r w:rsidRPr="00D248B5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「</w:t>
      </w:r>
      <w:r w:rsidRPr="00D248B5">
        <w:rPr>
          <w:rFonts w:ascii="標楷體" w:eastAsia="標楷體" w:hAnsi="標楷體" w:hint="eastAsia"/>
          <w:b/>
          <w:noProof w:val="0"/>
          <w:spacing w:val="20"/>
          <w:kern w:val="2"/>
          <w:sz w:val="28"/>
          <w:szCs w:val="28"/>
        </w:rPr>
        <w:t>篇章朗讀</w:t>
      </w:r>
      <w:r w:rsidRPr="00D248B5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」收錄</w:t>
      </w:r>
      <w:r w:rsidRPr="00D248B5">
        <w:rPr>
          <w:rFonts w:eastAsia="標楷體"/>
          <w:noProof w:val="0"/>
          <w:spacing w:val="20"/>
          <w:kern w:val="2"/>
          <w:sz w:val="28"/>
          <w:szCs w:val="28"/>
        </w:rPr>
        <w:t>200</w:t>
      </w:r>
      <w:r w:rsidRPr="00D248B5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篇附有專業普</w:t>
      </w:r>
      <w:smartTag w:uri="urn:schemas-microsoft-com:office:smarttags" w:element="PersonName">
        <w:smartTagPr>
          <w:attr w:name="ProductID" w:val="通話"/>
        </w:smartTagPr>
        <w:r w:rsidRPr="00D248B5">
          <w:rPr>
            <w:rFonts w:ascii="標楷體" w:eastAsia="標楷體" w:hAnsi="標楷體" w:hint="eastAsia"/>
            <w:noProof w:val="0"/>
            <w:spacing w:val="20"/>
            <w:kern w:val="2"/>
            <w:sz w:val="28"/>
            <w:szCs w:val="28"/>
          </w:rPr>
          <w:t>通話</w:t>
        </w:r>
      </w:smartTag>
      <w:r w:rsidRPr="00D248B5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老師示範朗讀的文章，讓學生透過聆聽和朗讀，培養普通話語感。文章分初小程度（小一至小三）、高小程度（小四至小六）及初中程度（中一至中三），每個程度均提供不同時代的詩文。錄音檔可以整篇或以段落形式播放。</w:t>
      </w:r>
    </w:p>
    <w:p w:rsidR="00D248B5" w:rsidRPr="00B52C7A" w:rsidRDefault="00D248B5" w:rsidP="00A211B6">
      <w:pPr>
        <w:pStyle w:val="Bullet"/>
        <w:tabs>
          <w:tab w:val="clear" w:pos="480"/>
          <w:tab w:val="left" w:pos="540"/>
        </w:tabs>
        <w:spacing w:before="120" w:afterLines="0" w:after="0" w:line="400" w:lineRule="exact"/>
        <w:ind w:left="1080" w:hanging="540"/>
        <w:jc w:val="both"/>
        <w:rPr>
          <w:rFonts w:ascii="標楷體" w:eastAsia="標楷體" w:hAnsi="標楷體"/>
          <w:noProof w:val="0"/>
          <w:spacing w:val="20"/>
          <w:kern w:val="2"/>
          <w:sz w:val="28"/>
          <w:szCs w:val="28"/>
        </w:rPr>
      </w:pPr>
      <w:r w:rsidRPr="00B52C7A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「</w:t>
      </w:r>
      <w:r w:rsidRPr="00B52C7A">
        <w:rPr>
          <w:rFonts w:ascii="標楷體" w:eastAsia="標楷體" w:hAnsi="標楷體" w:hint="eastAsia"/>
          <w:b/>
          <w:noProof w:val="0"/>
          <w:spacing w:val="20"/>
          <w:kern w:val="2"/>
          <w:sz w:val="28"/>
          <w:szCs w:val="28"/>
        </w:rPr>
        <w:t>粵普對應詞匯</w:t>
      </w:r>
      <w:r w:rsidRPr="00B52C7A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」收錄約</w:t>
      </w:r>
      <w:r w:rsidRPr="00B52C7A">
        <w:rPr>
          <w:rFonts w:eastAsia="標楷體"/>
          <w:noProof w:val="0"/>
          <w:spacing w:val="20"/>
          <w:kern w:val="2"/>
          <w:sz w:val="28"/>
          <w:szCs w:val="28"/>
        </w:rPr>
        <w:t>3000</w:t>
      </w:r>
      <w:r w:rsidRPr="00B52C7A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組詞語，共分</w:t>
      </w:r>
      <w:r w:rsidR="00EC092F">
        <w:rPr>
          <w:rFonts w:eastAsia="標楷體" w:hint="eastAsia"/>
          <w:noProof w:val="0"/>
          <w:spacing w:val="20"/>
          <w:kern w:val="2"/>
          <w:sz w:val="28"/>
          <w:szCs w:val="28"/>
        </w:rPr>
        <w:t>21</w:t>
      </w:r>
      <w:r w:rsidRPr="00EC092F">
        <w:rPr>
          <w:rFonts w:eastAsia="標楷體"/>
          <w:noProof w:val="0"/>
          <w:spacing w:val="20"/>
          <w:kern w:val="2"/>
          <w:sz w:val="28"/>
          <w:szCs w:val="28"/>
        </w:rPr>
        <w:t>個</w:t>
      </w:r>
      <w:r w:rsidRPr="00B52C7A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類別，提供不同搜尋方法，讓學生了解粵普詞匯的不同</w:t>
      </w:r>
      <w:r w:rsidR="00B52C7A" w:rsidRPr="00B52C7A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，積累普通話詞匯</w:t>
      </w:r>
      <w:r w:rsidR="00B52C7A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  <w:lang w:eastAsia="zh-HK"/>
        </w:rPr>
        <w:t>，提升普通話聽說能力</w:t>
      </w:r>
      <w:r w:rsidRPr="00B52C7A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。</w:t>
      </w:r>
    </w:p>
    <w:p w:rsidR="00D248B5" w:rsidRPr="00D248B5" w:rsidRDefault="00D248B5" w:rsidP="00D248B5">
      <w:pPr>
        <w:pStyle w:val="Bullet"/>
        <w:tabs>
          <w:tab w:val="clear" w:pos="240"/>
          <w:tab w:val="left" w:pos="540"/>
        </w:tabs>
        <w:spacing w:before="120" w:afterLines="0" w:after="0" w:line="400" w:lineRule="exact"/>
        <w:ind w:left="1080" w:hanging="540"/>
        <w:jc w:val="both"/>
        <w:rPr>
          <w:rFonts w:ascii="標楷體" w:eastAsia="標楷體" w:hAnsi="標楷體"/>
          <w:noProof w:val="0"/>
          <w:spacing w:val="20"/>
          <w:kern w:val="2"/>
          <w:sz w:val="28"/>
          <w:szCs w:val="28"/>
        </w:rPr>
      </w:pPr>
      <w:r w:rsidRPr="00D248B5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「</w:t>
      </w:r>
      <w:r w:rsidRPr="00D248B5">
        <w:rPr>
          <w:rFonts w:ascii="標楷體" w:eastAsia="標楷體" w:hAnsi="標楷體" w:hint="eastAsia"/>
          <w:b/>
          <w:noProof w:val="0"/>
          <w:spacing w:val="20"/>
          <w:kern w:val="2"/>
          <w:sz w:val="28"/>
          <w:szCs w:val="28"/>
        </w:rPr>
        <w:t>練習</w:t>
      </w:r>
      <w:r w:rsidRPr="00D248B5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」分成四個不同程度，讓學生進行漢語拼音練習，以增進有關知識</w:t>
      </w:r>
      <w:r w:rsidR="00E86F67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  <w:lang w:eastAsia="zh-HK"/>
        </w:rPr>
        <w:t>，培</w:t>
      </w:r>
      <w:r w:rsidR="00E86F67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養</w:t>
      </w:r>
      <w:r w:rsidR="00E86F67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  <w:lang w:eastAsia="zh-HK"/>
        </w:rPr>
        <w:t>自學能力</w:t>
      </w:r>
      <w:r w:rsidRPr="00D248B5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。</w:t>
      </w:r>
    </w:p>
    <w:p w:rsidR="00D248B5" w:rsidRPr="00D248B5" w:rsidRDefault="00D248B5" w:rsidP="00D248B5">
      <w:pPr>
        <w:pStyle w:val="Bullet"/>
        <w:tabs>
          <w:tab w:val="clear" w:pos="240"/>
          <w:tab w:val="left" w:pos="540"/>
        </w:tabs>
        <w:spacing w:before="120" w:afterLines="0" w:after="0" w:line="400" w:lineRule="exact"/>
        <w:ind w:left="1080" w:hanging="540"/>
        <w:jc w:val="both"/>
        <w:rPr>
          <w:rFonts w:ascii="標楷體" w:eastAsia="標楷體" w:hAnsi="標楷體"/>
          <w:noProof w:val="0"/>
          <w:spacing w:val="20"/>
          <w:kern w:val="2"/>
          <w:sz w:val="28"/>
          <w:szCs w:val="28"/>
        </w:rPr>
      </w:pPr>
      <w:r w:rsidRPr="00D248B5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「</w:t>
      </w:r>
      <w:r w:rsidRPr="00D248B5">
        <w:rPr>
          <w:rFonts w:ascii="標楷體" w:eastAsia="標楷體" w:hAnsi="標楷體" w:hint="eastAsia"/>
          <w:b/>
          <w:noProof w:val="0"/>
          <w:spacing w:val="20"/>
          <w:kern w:val="2"/>
          <w:sz w:val="28"/>
          <w:szCs w:val="28"/>
        </w:rPr>
        <w:t>漢語拼音遊戲</w:t>
      </w:r>
      <w:r w:rsidRPr="00D248B5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」共</w:t>
      </w:r>
      <w:r w:rsidRPr="00D248B5">
        <w:rPr>
          <w:rFonts w:eastAsia="標楷體"/>
          <w:noProof w:val="0"/>
          <w:spacing w:val="20"/>
          <w:kern w:val="2"/>
          <w:sz w:val="28"/>
          <w:szCs w:val="28"/>
        </w:rPr>
        <w:t>3</w:t>
      </w:r>
      <w:r w:rsidRPr="00D248B5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款，寓教育於娛樂，可提升學生學習漢語拼音的興趣。</w:t>
      </w:r>
    </w:p>
    <w:p w:rsidR="0055037A" w:rsidRDefault="00D248B5" w:rsidP="00B62D6A">
      <w:pPr>
        <w:pStyle w:val="Bullet"/>
        <w:tabs>
          <w:tab w:val="clear" w:pos="240"/>
          <w:tab w:val="left" w:pos="540"/>
        </w:tabs>
        <w:spacing w:before="120" w:afterLines="0" w:after="0" w:line="400" w:lineRule="exact"/>
        <w:ind w:left="1080" w:hanging="540"/>
        <w:jc w:val="both"/>
        <w:rPr>
          <w:rFonts w:ascii="標楷體" w:eastAsia="標楷體" w:hAnsi="標楷體"/>
          <w:noProof w:val="0"/>
          <w:spacing w:val="20"/>
          <w:kern w:val="2"/>
          <w:sz w:val="28"/>
          <w:szCs w:val="28"/>
        </w:rPr>
      </w:pPr>
      <w:r w:rsidRPr="00B62D6A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「附錄：漢語拼音方案」</w:t>
      </w:r>
      <w:r w:rsidR="00C00FDF">
        <w:rPr>
          <w:rFonts w:ascii="標楷體" w:eastAsia="標楷體" w:hAnsi="標楷體" w:hint="eastAsia"/>
          <w:spacing w:val="20"/>
          <w:kern w:val="2"/>
          <w:sz w:val="28"/>
          <w:szCs w:val="28"/>
          <w:lang w:eastAsia="zh-HK"/>
        </w:rPr>
        <w:t>包括</w:t>
      </w:r>
      <w:r w:rsidR="00C00FDF" w:rsidRPr="00A4596E">
        <w:rPr>
          <w:rFonts w:ascii="標楷體" w:eastAsia="標楷體" w:hAnsi="標楷體"/>
          <w:spacing w:val="20"/>
          <w:kern w:val="2"/>
          <w:sz w:val="28"/>
          <w:szCs w:val="28"/>
        </w:rPr>
        <w:t>字母表、聲母表、韻母表、聲調符號</w:t>
      </w:r>
      <w:r w:rsidR="00C00FDF">
        <w:rPr>
          <w:rFonts w:ascii="標楷體" w:eastAsia="標楷體" w:hAnsi="標楷體" w:hint="eastAsia"/>
          <w:spacing w:val="20"/>
          <w:kern w:val="2"/>
          <w:sz w:val="28"/>
          <w:szCs w:val="28"/>
          <w:lang w:eastAsia="zh-HK"/>
        </w:rPr>
        <w:t>，提供</w:t>
      </w:r>
      <w:r w:rsidR="00C00FDF" w:rsidRPr="00A4596E">
        <w:rPr>
          <w:rFonts w:ascii="標楷體" w:eastAsia="標楷體" w:hAnsi="標楷體"/>
          <w:spacing w:val="20"/>
          <w:kern w:val="2"/>
          <w:sz w:val="28"/>
          <w:szCs w:val="28"/>
        </w:rPr>
        <w:t>點按朗讀功能</w:t>
      </w:r>
      <w:r w:rsidRPr="00B62D6A">
        <w:rPr>
          <w:rFonts w:ascii="標楷體" w:eastAsia="標楷體" w:hAnsi="標楷體" w:hint="eastAsia"/>
          <w:noProof w:val="0"/>
          <w:spacing w:val="20"/>
          <w:kern w:val="2"/>
          <w:sz w:val="28"/>
          <w:szCs w:val="28"/>
        </w:rPr>
        <w:t>，可作為自修的參考。</w:t>
      </w:r>
    </w:p>
    <w:p w:rsidR="00921F9A" w:rsidRDefault="00921F9A" w:rsidP="00201984">
      <w:pPr>
        <w:pStyle w:val="Bullet"/>
        <w:numPr>
          <w:ilvl w:val="0"/>
          <w:numId w:val="0"/>
        </w:numPr>
        <w:tabs>
          <w:tab w:val="clear" w:pos="240"/>
          <w:tab w:val="left" w:pos="540"/>
        </w:tabs>
        <w:snapToGrid w:val="0"/>
        <w:spacing w:before="120" w:afterLines="0" w:after="0" w:line="400" w:lineRule="exact"/>
        <w:ind w:left="482" w:hanging="482"/>
        <w:jc w:val="both"/>
        <w:rPr>
          <w:rFonts w:ascii="標楷體" w:eastAsia="標楷體" w:hAnsi="標楷體"/>
          <w:noProof w:val="0"/>
          <w:spacing w:val="20"/>
          <w:kern w:val="2"/>
          <w:sz w:val="28"/>
          <w:szCs w:val="28"/>
          <w:lang w:eastAsia="zh-HK"/>
        </w:rPr>
      </w:pPr>
    </w:p>
    <w:p w:rsidR="0049467D" w:rsidRPr="006801BC" w:rsidRDefault="0049467D" w:rsidP="00957776">
      <w:pPr>
        <w:pStyle w:val="Bullet"/>
        <w:numPr>
          <w:ilvl w:val="0"/>
          <w:numId w:val="0"/>
        </w:numPr>
        <w:tabs>
          <w:tab w:val="clear" w:pos="240"/>
          <w:tab w:val="left" w:pos="540"/>
        </w:tabs>
        <w:spacing w:before="120" w:afterLines="0" w:after="0" w:line="400" w:lineRule="exact"/>
        <w:ind w:left="480" w:hanging="480"/>
        <w:jc w:val="both"/>
        <w:rPr>
          <w:rFonts w:ascii="標楷體" w:eastAsia="標楷體" w:hAnsi="標楷體"/>
          <w:noProof w:val="0"/>
          <w:spacing w:val="20"/>
          <w:kern w:val="2"/>
          <w:sz w:val="24"/>
          <w:szCs w:val="24"/>
          <w:lang w:eastAsia="zh-HK"/>
        </w:rPr>
      </w:pPr>
      <w:r w:rsidRPr="006801BC">
        <w:rPr>
          <w:rFonts w:ascii="標楷體" w:eastAsia="標楷體" w:hAnsi="標楷體" w:hint="eastAsia"/>
          <w:noProof w:val="0"/>
          <w:spacing w:val="20"/>
          <w:kern w:val="2"/>
          <w:sz w:val="24"/>
          <w:szCs w:val="24"/>
        </w:rPr>
        <w:t>（</w:t>
      </w:r>
      <w:r w:rsidRPr="006801BC">
        <w:rPr>
          <w:rFonts w:ascii="標楷體" w:eastAsia="標楷體" w:hAnsi="標楷體" w:hint="eastAsia"/>
          <w:noProof w:val="0"/>
          <w:spacing w:val="20"/>
          <w:kern w:val="2"/>
          <w:sz w:val="24"/>
          <w:szCs w:val="24"/>
          <w:lang w:eastAsia="zh-HK"/>
        </w:rPr>
        <w:t>註：</w:t>
      </w:r>
      <w:r w:rsidRPr="006801BC">
        <w:rPr>
          <w:rFonts w:ascii="標楷體" w:eastAsia="標楷體" w:hAnsi="標楷體" w:hint="eastAsia"/>
          <w:spacing w:val="20"/>
          <w:sz w:val="24"/>
          <w:szCs w:val="24"/>
          <w:lang w:eastAsia="zh-HK"/>
        </w:rPr>
        <w:t>網站於</w:t>
      </w:r>
      <w:r w:rsidRPr="006801BC">
        <w:rPr>
          <w:rFonts w:eastAsia="標楷體"/>
          <w:spacing w:val="20"/>
          <w:sz w:val="24"/>
          <w:szCs w:val="24"/>
        </w:rPr>
        <w:t>202</w:t>
      </w:r>
      <w:r w:rsidRPr="006801BC">
        <w:rPr>
          <w:rFonts w:eastAsia="標楷體" w:hint="eastAsia"/>
          <w:spacing w:val="20"/>
          <w:sz w:val="24"/>
          <w:szCs w:val="24"/>
        </w:rPr>
        <w:t>1/22</w:t>
      </w:r>
      <w:r w:rsidRPr="006801BC">
        <w:rPr>
          <w:rFonts w:eastAsia="標楷體" w:hint="eastAsia"/>
          <w:spacing w:val="20"/>
          <w:sz w:val="24"/>
          <w:szCs w:val="24"/>
          <w:lang w:eastAsia="zh-HK"/>
        </w:rPr>
        <w:t>學年完成</w:t>
      </w:r>
      <w:r w:rsidRPr="006801BC">
        <w:rPr>
          <w:rFonts w:ascii="標楷體" w:eastAsia="標楷體" w:hAnsi="標楷體" w:hint="eastAsia"/>
          <w:spacing w:val="20"/>
          <w:sz w:val="24"/>
          <w:szCs w:val="24"/>
          <w:lang w:eastAsia="zh-HK"/>
        </w:rPr>
        <w:t>重建，優化了內容和功能。</w:t>
      </w:r>
      <w:r w:rsidRPr="006801BC">
        <w:rPr>
          <w:rFonts w:ascii="標楷體" w:eastAsia="標楷體" w:hAnsi="標楷體" w:hint="eastAsia"/>
          <w:spacing w:val="20"/>
          <w:sz w:val="24"/>
          <w:szCs w:val="24"/>
        </w:rPr>
        <w:t>）</w:t>
      </w:r>
    </w:p>
    <w:sectPr w:rsidR="0049467D" w:rsidRPr="006801BC" w:rsidSect="00B62D6A">
      <w:footerReference w:type="even" r:id="rId10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4C" w:rsidRDefault="009D464C">
      <w:r>
        <w:separator/>
      </w:r>
    </w:p>
  </w:endnote>
  <w:endnote w:type="continuationSeparator" w:id="0">
    <w:p w:rsidR="009D464C" w:rsidRDefault="009D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宋(P)">
    <w:panose1 w:val="02020300000000000000"/>
    <w:charset w:val="88"/>
    <w:family w:val="roman"/>
    <w:pitch w:val="variable"/>
    <w:sig w:usb0="F1002BFF" w:usb1="29DFFFFF" w:usb2="00000037" w:usb3="00000000" w:csb0="003F00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2B" w:rsidRDefault="00F84C2B" w:rsidP="007E0A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C2B" w:rsidRDefault="00F84C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4C" w:rsidRDefault="009D464C">
      <w:r>
        <w:separator/>
      </w:r>
    </w:p>
  </w:footnote>
  <w:footnote w:type="continuationSeparator" w:id="0">
    <w:p w:rsidR="009D464C" w:rsidRDefault="009D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7D2F"/>
    <w:multiLevelType w:val="hybridMultilevel"/>
    <w:tmpl w:val="1A62715A"/>
    <w:lvl w:ilvl="0" w:tplc="1B40E822">
      <w:start w:val="1"/>
      <w:numFmt w:val="bullet"/>
      <w:pStyle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337D56"/>
    <w:multiLevelType w:val="hybridMultilevel"/>
    <w:tmpl w:val="2EB084BA"/>
    <w:lvl w:ilvl="0" w:tplc="7C58A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46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63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E6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24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69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4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6C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A0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7A"/>
    <w:rsid w:val="0008564B"/>
    <w:rsid w:val="00092CA8"/>
    <w:rsid w:val="00097961"/>
    <w:rsid w:val="000B23EF"/>
    <w:rsid w:val="001344CF"/>
    <w:rsid w:val="00156930"/>
    <w:rsid w:val="001570D1"/>
    <w:rsid w:val="001A3C63"/>
    <w:rsid w:val="00201984"/>
    <w:rsid w:val="0020574B"/>
    <w:rsid w:val="002108C0"/>
    <w:rsid w:val="00260F2E"/>
    <w:rsid w:val="0037540D"/>
    <w:rsid w:val="003F0D06"/>
    <w:rsid w:val="00445384"/>
    <w:rsid w:val="0049467D"/>
    <w:rsid w:val="004D7E26"/>
    <w:rsid w:val="0055037A"/>
    <w:rsid w:val="00550DAE"/>
    <w:rsid w:val="00594FA5"/>
    <w:rsid w:val="0060084D"/>
    <w:rsid w:val="0065785C"/>
    <w:rsid w:val="006801BC"/>
    <w:rsid w:val="007334F6"/>
    <w:rsid w:val="00781026"/>
    <w:rsid w:val="007E0A46"/>
    <w:rsid w:val="00834FB0"/>
    <w:rsid w:val="008C3656"/>
    <w:rsid w:val="008F12BF"/>
    <w:rsid w:val="00921F9A"/>
    <w:rsid w:val="00923359"/>
    <w:rsid w:val="00957776"/>
    <w:rsid w:val="009D464C"/>
    <w:rsid w:val="009F1113"/>
    <w:rsid w:val="00A16709"/>
    <w:rsid w:val="00A211B6"/>
    <w:rsid w:val="00B17025"/>
    <w:rsid w:val="00B3444A"/>
    <w:rsid w:val="00B52C7A"/>
    <w:rsid w:val="00B62D6A"/>
    <w:rsid w:val="00B63F3E"/>
    <w:rsid w:val="00B72D80"/>
    <w:rsid w:val="00C00FDF"/>
    <w:rsid w:val="00C8284A"/>
    <w:rsid w:val="00C960D9"/>
    <w:rsid w:val="00CB1EF0"/>
    <w:rsid w:val="00D02B2C"/>
    <w:rsid w:val="00D15251"/>
    <w:rsid w:val="00D248B5"/>
    <w:rsid w:val="00D312A6"/>
    <w:rsid w:val="00D36860"/>
    <w:rsid w:val="00E14EAC"/>
    <w:rsid w:val="00E86F67"/>
    <w:rsid w:val="00EC092F"/>
    <w:rsid w:val="00F1689B"/>
    <w:rsid w:val="00F84C2B"/>
    <w:rsid w:val="00F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F2A94F-79A2-4F0C-B6A4-B89B0EF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">
    <w:name w:val="Bullet"/>
    <w:rsid w:val="00D248B5"/>
    <w:pPr>
      <w:numPr>
        <w:numId w:val="1"/>
      </w:numPr>
      <w:tabs>
        <w:tab w:val="left" w:pos="240"/>
      </w:tabs>
      <w:spacing w:afterLines="50" w:after="50"/>
    </w:pPr>
    <w:rPr>
      <w:rFonts w:eastAsia="華康儷宋(P)"/>
      <w:noProof/>
      <w:sz w:val="18"/>
      <w:szCs w:val="18"/>
    </w:rPr>
  </w:style>
  <w:style w:type="paragraph" w:styleId="a3">
    <w:name w:val="header"/>
    <w:basedOn w:val="a"/>
    <w:rsid w:val="00D1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1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15251"/>
  </w:style>
  <w:style w:type="paragraph" w:styleId="a6">
    <w:name w:val="Balloon Text"/>
    <w:basedOn w:val="a"/>
    <w:link w:val="a7"/>
    <w:rsid w:val="00921F9A"/>
    <w:rPr>
      <w:rFonts w:ascii="Microsoft JhengHei UI" w:eastAsia="Microsoft JhengHei UI"/>
      <w:sz w:val="18"/>
      <w:szCs w:val="18"/>
    </w:rPr>
  </w:style>
  <w:style w:type="character" w:customStyle="1" w:styleId="a7">
    <w:name w:val="註解方塊文字 字元"/>
    <w:link w:val="a6"/>
    <w:rsid w:val="00921F9A"/>
    <w:rPr>
      <w:rFonts w:ascii="Microsoft JhengHei UI" w:eastAsia="Microsoft JhengHei U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52C7A"/>
    <w:pPr>
      <w:widowControl/>
      <w:ind w:left="720"/>
      <w:contextualSpacing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9FA2-1F8D-491D-8CDE-B04F84EB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EDUCATION AND MANPOWER BUREAU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通達學普：中小學普通話自學軟件</dc:title>
  <dc:subject/>
  <dc:creator>mmhon</dc:creator>
  <cp:keywords/>
  <dc:description/>
  <cp:lastModifiedBy>Administrator</cp:lastModifiedBy>
  <cp:revision>5</cp:revision>
  <dcterms:created xsi:type="dcterms:W3CDTF">2022-09-26T06:29:00Z</dcterms:created>
  <dcterms:modified xsi:type="dcterms:W3CDTF">2022-09-26T06:32:00Z</dcterms:modified>
</cp:coreProperties>
</file>