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4C" w:rsidRDefault="00B1214C" w:rsidP="00B1214C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中文作為第二語言</w:t>
      </w:r>
    </w:p>
    <w:p w:rsidR="00B1214C" w:rsidRDefault="00B1214C" w:rsidP="00B1214C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適用的學與教策略舉隅</w:t>
      </w:r>
    </w:p>
    <w:p w:rsidR="00E83EDF" w:rsidRPr="00B1214C" w:rsidRDefault="00E83EDF" w:rsidP="00964605">
      <w:pPr>
        <w:rPr>
          <w:rFonts w:eastAsia="標楷體"/>
        </w:rPr>
      </w:pPr>
    </w:p>
    <w:p w:rsidR="00E83EDF" w:rsidRPr="00D4363D" w:rsidRDefault="00E83EDF" w:rsidP="00964605">
      <w:pPr>
        <w:rPr>
          <w:rFonts w:ascii="標楷體" w:eastAsia="標楷體" w:hAnsi="標楷體"/>
          <w:b/>
        </w:rPr>
      </w:pPr>
      <w:r w:rsidRPr="00D4363D">
        <w:rPr>
          <w:rFonts w:ascii="標楷體" w:eastAsia="標楷體" w:hAnsi="標楷體"/>
          <w:b/>
        </w:rPr>
        <w:t>辨別發音接近的詞語</w:t>
      </w:r>
    </w:p>
    <w:p w:rsidR="00964605" w:rsidRPr="00964605" w:rsidRDefault="00964605" w:rsidP="00964605">
      <w:pPr>
        <w:rPr>
          <w:b/>
        </w:rPr>
      </w:pPr>
    </w:p>
    <w:p w:rsidR="00EF308A" w:rsidRPr="00B1214C" w:rsidRDefault="00B62439" w:rsidP="00B62439">
      <w:pPr>
        <w:pStyle w:val="ListParagraph"/>
        <w:numPr>
          <w:ilvl w:val="0"/>
          <w:numId w:val="3"/>
        </w:numPr>
        <w:overflowPunct w:val="0"/>
        <w:snapToGrid w:val="0"/>
        <w:ind w:leftChars="0" w:right="482"/>
        <w:rPr>
          <w:rFonts w:eastAsia="標楷體"/>
          <w:b/>
          <w:spacing w:val="20"/>
          <w:szCs w:val="24"/>
        </w:rPr>
      </w:pPr>
      <w:r w:rsidRPr="00B1214C">
        <w:rPr>
          <w:rFonts w:eastAsia="標楷體"/>
          <w:color w:val="000000"/>
          <w:szCs w:val="24"/>
        </w:rPr>
        <w:t>針對非華語</w:t>
      </w:r>
      <w:r w:rsidR="00964605">
        <w:rPr>
          <w:rFonts w:eastAsia="標楷體"/>
          <w:color w:val="000000"/>
          <w:szCs w:val="24"/>
        </w:rPr>
        <w:t>學生吐字發音欠缺聲調這項特點，安排適切的活動，以訓練學生辨別廣</w:t>
      </w:r>
      <w:r w:rsidR="00964605">
        <w:rPr>
          <w:rFonts w:eastAsia="標楷體" w:hint="eastAsia"/>
          <w:color w:val="000000"/>
          <w:szCs w:val="24"/>
        </w:rPr>
        <w:t>州</w:t>
      </w:r>
      <w:r w:rsidRPr="00B1214C">
        <w:rPr>
          <w:rFonts w:eastAsia="標楷體"/>
          <w:color w:val="000000"/>
          <w:szCs w:val="24"/>
        </w:rPr>
        <w:t>話發音的能力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overflowPunct w:val="0"/>
        <w:snapToGrid w:val="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課題：辨別聲調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overflowPunct w:val="0"/>
        <w:snapToGrid w:val="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學習目標：</w:t>
      </w:r>
    </w:p>
    <w:p w:rsidR="00EF308A" w:rsidRPr="00B1214C" w:rsidRDefault="00EF308A" w:rsidP="00EF308A">
      <w:pPr>
        <w:numPr>
          <w:ilvl w:val="0"/>
          <w:numId w:val="2"/>
        </w:numPr>
        <w:overflowPunct w:val="0"/>
        <w:snapToGrid w:val="0"/>
        <w:spacing w:before="120"/>
        <w:ind w:left="482" w:hanging="482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分辨廣</w:t>
      </w:r>
      <w:r w:rsidR="00964605">
        <w:rPr>
          <w:rFonts w:eastAsia="標楷體" w:hint="eastAsia"/>
          <w:color w:val="000000"/>
          <w:szCs w:val="24"/>
        </w:rPr>
        <w:t>州</w:t>
      </w:r>
      <w:r w:rsidRPr="00B1214C">
        <w:rPr>
          <w:rFonts w:eastAsia="標楷體"/>
          <w:szCs w:val="24"/>
        </w:rPr>
        <w:t>話的聲調</w:t>
      </w:r>
    </w:p>
    <w:p w:rsidR="00EF308A" w:rsidRPr="00B1214C" w:rsidRDefault="00EF308A" w:rsidP="00EF308A">
      <w:pPr>
        <w:numPr>
          <w:ilvl w:val="0"/>
          <w:numId w:val="2"/>
        </w:numPr>
        <w:overflowPunct w:val="0"/>
        <w:snapToGrid w:val="0"/>
        <w:spacing w:before="120"/>
        <w:ind w:left="482" w:hanging="482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分辨廣</w:t>
      </w:r>
      <w:r w:rsidR="00964605">
        <w:rPr>
          <w:rFonts w:eastAsia="標楷體" w:hint="eastAsia"/>
          <w:color w:val="000000"/>
          <w:szCs w:val="24"/>
        </w:rPr>
        <w:t>州</w:t>
      </w:r>
      <w:r w:rsidRPr="00B1214C">
        <w:rPr>
          <w:rFonts w:eastAsia="標楷體"/>
          <w:szCs w:val="24"/>
        </w:rPr>
        <w:t>話的收音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overflowPunct w:val="0"/>
        <w:snapToGrid w:val="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設計特點：</w:t>
      </w:r>
      <w:r w:rsidRPr="00B1214C">
        <w:rPr>
          <w:rFonts w:eastAsia="標楷體"/>
          <w:b/>
          <w:szCs w:val="24"/>
        </w:rPr>
        <w:t xml:space="preserve"> 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numPr>
          <w:ilvl w:val="0"/>
          <w:numId w:val="1"/>
        </w:numPr>
        <w:overflowPunct w:val="0"/>
        <w:snapToGrid w:val="0"/>
        <w:ind w:left="482" w:hanging="482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廣</w:t>
      </w:r>
      <w:r w:rsidR="00964605">
        <w:rPr>
          <w:rFonts w:eastAsia="標楷體" w:hint="eastAsia"/>
          <w:color w:val="000000"/>
          <w:szCs w:val="24"/>
        </w:rPr>
        <w:t>州</w:t>
      </w:r>
      <w:r w:rsidR="00964605">
        <w:rPr>
          <w:rFonts w:eastAsia="標楷體"/>
          <w:szCs w:val="24"/>
        </w:rPr>
        <w:t>話聲調</w:t>
      </w:r>
      <w:r w:rsidR="00964605">
        <w:rPr>
          <w:rFonts w:eastAsia="標楷體" w:hint="eastAsia"/>
          <w:szCs w:val="24"/>
        </w:rPr>
        <w:t>多</w:t>
      </w:r>
      <w:r w:rsidRPr="00B1214C">
        <w:rPr>
          <w:rFonts w:eastAsia="標楷體"/>
          <w:szCs w:val="24"/>
        </w:rPr>
        <w:t>，對一些母語沒有聲調的非華語學生</w:t>
      </w:r>
      <w:proofErr w:type="gramStart"/>
      <w:r w:rsidRPr="00B1214C">
        <w:rPr>
          <w:rFonts w:eastAsia="標楷體"/>
          <w:szCs w:val="24"/>
        </w:rPr>
        <w:t>來說是較</w:t>
      </w:r>
      <w:proofErr w:type="gramEnd"/>
      <w:r w:rsidRPr="00B1214C">
        <w:rPr>
          <w:rFonts w:eastAsia="標楷體"/>
          <w:szCs w:val="24"/>
        </w:rPr>
        <w:t>難掌握的語言。於設計課題時刻意把讀音相近詞語放在一起，教導學生辨別音調類近的詞語及其正確發音。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numPr>
          <w:ilvl w:val="0"/>
          <w:numId w:val="1"/>
        </w:numPr>
        <w:overflowPunct w:val="0"/>
        <w:snapToGrid w:val="0"/>
        <w:ind w:left="482" w:hanging="482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本課題設計是針對廣</w:t>
      </w:r>
      <w:r w:rsidR="00964605">
        <w:rPr>
          <w:rFonts w:eastAsia="標楷體" w:hint="eastAsia"/>
          <w:color w:val="000000"/>
          <w:szCs w:val="24"/>
        </w:rPr>
        <w:t>州</w:t>
      </w:r>
      <w:r w:rsidR="00964605">
        <w:rPr>
          <w:rFonts w:eastAsia="標楷體"/>
          <w:szCs w:val="24"/>
        </w:rPr>
        <w:t>話的發音，教導學生正確</w:t>
      </w:r>
      <w:r w:rsidR="00964605">
        <w:rPr>
          <w:rFonts w:eastAsia="標楷體" w:hint="eastAsia"/>
          <w:szCs w:val="24"/>
        </w:rPr>
        <w:t>的</w:t>
      </w:r>
      <w:r w:rsidR="00964605">
        <w:rPr>
          <w:rFonts w:eastAsia="標楷體"/>
          <w:szCs w:val="24"/>
        </w:rPr>
        <w:t>口</w:t>
      </w:r>
      <w:r w:rsidR="00B361EE">
        <w:rPr>
          <w:rFonts w:eastAsia="標楷體" w:hint="eastAsia"/>
          <w:szCs w:val="24"/>
        </w:rPr>
        <w:t>形</w:t>
      </w:r>
      <w:bookmarkStart w:id="0" w:name="_GoBack"/>
      <w:bookmarkEnd w:id="0"/>
      <w:r w:rsidR="00964605">
        <w:rPr>
          <w:rFonts w:eastAsia="標楷體" w:hint="eastAsia"/>
          <w:szCs w:val="24"/>
        </w:rPr>
        <w:t>及</w:t>
      </w:r>
      <w:r w:rsidR="00964605">
        <w:rPr>
          <w:rFonts w:eastAsia="標楷體"/>
          <w:szCs w:val="24"/>
        </w:rPr>
        <w:t>舌頭擺放的位置</w:t>
      </w:r>
      <w:r w:rsidRPr="00B1214C">
        <w:rPr>
          <w:rFonts w:eastAsia="標楷體"/>
          <w:szCs w:val="24"/>
        </w:rPr>
        <w:t>，以期清楚、準確發出詞語讀音，避免引起溝通上的誤會。　（例子見下表）</w:t>
      </w:r>
    </w:p>
    <w:p w:rsidR="00EF308A" w:rsidRPr="00B1214C" w:rsidRDefault="00EF308A" w:rsidP="00EF308A">
      <w:pPr>
        <w:overflowPunct w:val="0"/>
        <w:snapToGrid w:val="0"/>
        <w:rPr>
          <w:rFonts w:eastAsia="標楷體"/>
          <w:szCs w:val="24"/>
        </w:rPr>
      </w:pPr>
    </w:p>
    <w:p w:rsidR="00EF308A" w:rsidRPr="00B1214C" w:rsidRDefault="00EF308A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表</w:t>
      </w:r>
      <w:proofErr w:type="gramStart"/>
      <w:r w:rsidRPr="00B1214C">
        <w:rPr>
          <w:rFonts w:eastAsia="標楷體"/>
          <w:b/>
          <w:szCs w:val="24"/>
        </w:rPr>
        <w:t>一</w:t>
      </w:r>
      <w:proofErr w:type="gramEnd"/>
      <w:r w:rsidRPr="00B1214C">
        <w:rPr>
          <w:rFonts w:eastAsia="標楷體"/>
          <w:b/>
          <w:szCs w:val="24"/>
        </w:rPr>
        <w:t>：分辨聲調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相</w:t>
            </w:r>
            <w:r w:rsidRPr="00B1214C">
              <w:rPr>
                <w:rFonts w:eastAsia="標楷體"/>
                <w:szCs w:val="24"/>
              </w:rPr>
              <w:t>機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上</w:t>
            </w:r>
            <w:r w:rsidRPr="00B1214C">
              <w:rPr>
                <w:rFonts w:eastAsia="標楷體"/>
                <w:szCs w:val="24"/>
              </w:rPr>
              <w:t>機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b/>
                <w:szCs w:val="24"/>
              </w:rPr>
            </w:pPr>
            <w:r w:rsidRPr="00B1214C">
              <w:rPr>
                <w:rFonts w:eastAsia="標楷體"/>
                <w:szCs w:val="24"/>
              </w:rPr>
              <w:t>心</w:t>
            </w:r>
            <w:r w:rsidRPr="00B1214C">
              <w:rPr>
                <w:rFonts w:eastAsia="標楷體"/>
                <w:b/>
                <w:szCs w:val="24"/>
              </w:rPr>
              <w:t>口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b/>
                <w:szCs w:val="24"/>
                <w:lang w:eastAsia="zh-CN"/>
              </w:rPr>
            </w:pPr>
            <w:r w:rsidRPr="00B1214C">
              <w:rPr>
                <w:rFonts w:eastAsia="標楷體"/>
                <w:szCs w:val="24"/>
              </w:rPr>
              <w:t>深</w:t>
            </w:r>
            <w:r w:rsidRPr="00B1214C">
              <w:rPr>
                <w:rFonts w:eastAsia="標楷體"/>
                <w:b/>
                <w:szCs w:val="24"/>
              </w:rPr>
              <w:t>厚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想</w:t>
            </w:r>
            <w:r w:rsidRPr="00B1214C">
              <w:rPr>
                <w:rFonts w:eastAsia="標楷體"/>
                <w:szCs w:val="24"/>
              </w:rPr>
              <w:t>去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上</w:t>
            </w:r>
            <w:r w:rsidRPr="00B1214C">
              <w:rPr>
                <w:rFonts w:eastAsia="標楷體"/>
                <w:szCs w:val="24"/>
              </w:rPr>
              <w:t>去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出</w:t>
            </w:r>
            <w:proofErr w:type="gramStart"/>
            <w:r w:rsidRPr="00B1214C">
              <w:rPr>
                <w:rFonts w:eastAsia="標楷體"/>
                <w:b/>
                <w:szCs w:val="24"/>
              </w:rPr>
              <w:t>痲</w:t>
            </w:r>
            <w:proofErr w:type="gramEnd"/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出</w:t>
            </w:r>
            <w:r w:rsidRPr="00B1214C">
              <w:rPr>
                <w:rFonts w:eastAsia="標楷體"/>
                <w:b/>
                <w:szCs w:val="24"/>
              </w:rPr>
              <w:t>馬</w:t>
            </w:r>
          </w:p>
        </w:tc>
      </w:tr>
    </w:tbl>
    <w:p w:rsidR="002E09E1" w:rsidRPr="00B1214C" w:rsidRDefault="002E09E1" w:rsidP="002E09E1">
      <w:pPr>
        <w:overflowPunct w:val="0"/>
        <w:snapToGrid w:val="0"/>
        <w:spacing w:before="120" w:after="120"/>
        <w:ind w:firstLine="480"/>
        <w:rPr>
          <w:rFonts w:eastAsia="標楷體"/>
          <w:b/>
          <w:szCs w:val="24"/>
        </w:rPr>
      </w:pPr>
    </w:p>
    <w:p w:rsidR="00EF308A" w:rsidRPr="00B1214C" w:rsidRDefault="00EF308A" w:rsidP="002E09E1">
      <w:pPr>
        <w:overflowPunct w:val="0"/>
        <w:snapToGrid w:val="0"/>
        <w:spacing w:before="120" w:after="120"/>
        <w:ind w:firstLine="48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表二：分辨聲調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240"/>
      </w:tblGrid>
      <w:tr w:rsidR="00EF308A" w:rsidRPr="00B1214C" w:rsidTr="00022107">
        <w:tc>
          <w:tcPr>
            <w:tcW w:w="306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聖</w:t>
            </w:r>
            <w:r w:rsidRPr="00B1214C">
              <w:rPr>
                <w:rFonts w:eastAsia="標楷體"/>
                <w:szCs w:val="24"/>
              </w:rPr>
              <w:t>人</w:t>
            </w:r>
          </w:p>
        </w:tc>
        <w:tc>
          <w:tcPr>
            <w:tcW w:w="324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成</w:t>
            </w:r>
            <w:r w:rsidRPr="00B1214C">
              <w:rPr>
                <w:rFonts w:eastAsia="標楷體"/>
                <w:szCs w:val="24"/>
              </w:rPr>
              <w:t>人</w:t>
            </w:r>
          </w:p>
        </w:tc>
      </w:tr>
      <w:tr w:rsidR="00EF308A" w:rsidRPr="00B1214C" w:rsidTr="00022107">
        <w:tc>
          <w:tcPr>
            <w:tcW w:w="306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髮</w:t>
            </w:r>
            <w:r w:rsidRPr="00B1214C">
              <w:rPr>
                <w:rFonts w:eastAsia="標楷體"/>
                <w:b/>
                <w:szCs w:val="24"/>
              </w:rPr>
              <w:t>菜</w:t>
            </w:r>
          </w:p>
        </w:tc>
        <w:tc>
          <w:tcPr>
            <w:tcW w:w="324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發</w:t>
            </w:r>
            <w:r w:rsidRPr="00B1214C">
              <w:rPr>
                <w:rFonts w:eastAsia="標楷體"/>
                <w:b/>
                <w:szCs w:val="24"/>
              </w:rPr>
              <w:t>財</w:t>
            </w:r>
          </w:p>
        </w:tc>
      </w:tr>
      <w:tr w:rsidR="00EF308A" w:rsidRPr="00B1214C" w:rsidTr="00022107">
        <w:tc>
          <w:tcPr>
            <w:tcW w:w="306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扣</w:t>
            </w:r>
            <w:r w:rsidRPr="00B1214C">
              <w:rPr>
                <w:rFonts w:eastAsia="標楷體"/>
                <w:szCs w:val="24"/>
              </w:rPr>
              <w:t>分</w:t>
            </w:r>
          </w:p>
        </w:tc>
        <w:tc>
          <w:tcPr>
            <w:tcW w:w="324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求</w:t>
            </w:r>
            <w:r w:rsidRPr="00B1214C">
              <w:rPr>
                <w:rFonts w:eastAsia="標楷體"/>
                <w:szCs w:val="24"/>
              </w:rPr>
              <w:t>婚</w:t>
            </w:r>
          </w:p>
        </w:tc>
      </w:tr>
      <w:tr w:rsidR="00EF308A" w:rsidRPr="00B1214C" w:rsidTr="00022107">
        <w:tc>
          <w:tcPr>
            <w:tcW w:w="306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放</w:t>
            </w:r>
            <w:r w:rsidRPr="00B1214C">
              <w:rPr>
                <w:rFonts w:eastAsia="標楷體"/>
                <w:szCs w:val="24"/>
              </w:rPr>
              <w:t>火</w:t>
            </w:r>
          </w:p>
        </w:tc>
        <w:tc>
          <w:tcPr>
            <w:tcW w:w="324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防</w:t>
            </w:r>
            <w:r w:rsidRPr="00B1214C">
              <w:rPr>
                <w:rFonts w:eastAsia="標楷體"/>
                <w:szCs w:val="24"/>
              </w:rPr>
              <w:t>火</w:t>
            </w:r>
          </w:p>
        </w:tc>
      </w:tr>
    </w:tbl>
    <w:p w:rsidR="002E09E1" w:rsidRPr="00B1214C" w:rsidRDefault="002E09E1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</w:p>
    <w:p w:rsidR="002E09E1" w:rsidRPr="00B1214C" w:rsidRDefault="002E09E1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</w:p>
    <w:p w:rsidR="00EF308A" w:rsidRPr="00B1214C" w:rsidRDefault="00EF308A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表</w:t>
      </w:r>
      <w:proofErr w:type="gramStart"/>
      <w:r w:rsidRPr="00B1214C">
        <w:rPr>
          <w:rFonts w:eastAsia="標楷體"/>
          <w:b/>
          <w:szCs w:val="24"/>
        </w:rPr>
        <w:t>三</w:t>
      </w:r>
      <w:proofErr w:type="gramEnd"/>
      <w:r w:rsidRPr="00B1214C">
        <w:rPr>
          <w:rFonts w:eastAsia="標楷體"/>
          <w:b/>
          <w:szCs w:val="24"/>
        </w:rPr>
        <w:t>：分辨聲調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印</w:t>
            </w:r>
            <w:r w:rsidRPr="00B1214C">
              <w:rPr>
                <w:rFonts w:eastAsia="標楷體"/>
                <w:szCs w:val="24"/>
              </w:rPr>
              <w:t>度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引</w:t>
            </w:r>
            <w:r w:rsidRPr="00B1214C">
              <w:rPr>
                <w:rFonts w:eastAsia="標楷體"/>
                <w:szCs w:val="24"/>
              </w:rPr>
              <w:t>渡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lastRenderedPageBreak/>
              <w:t>靚</w:t>
            </w:r>
            <w:r w:rsidRPr="00B1214C">
              <w:rPr>
                <w:rFonts w:eastAsia="標楷體"/>
                <w:szCs w:val="24"/>
              </w:rPr>
              <w:t>呔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領</w:t>
            </w:r>
            <w:r w:rsidRPr="00B1214C">
              <w:rPr>
                <w:rFonts w:eastAsia="標楷體"/>
                <w:szCs w:val="24"/>
              </w:rPr>
              <w:t>帶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好</w:t>
            </w:r>
            <w:proofErr w:type="gramStart"/>
            <w:r w:rsidRPr="00B1214C">
              <w:rPr>
                <w:rFonts w:eastAsia="標楷體"/>
                <w:b/>
                <w:szCs w:val="24"/>
              </w:rPr>
              <w:t>晏</w:t>
            </w:r>
            <w:proofErr w:type="gramEnd"/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szCs w:val="24"/>
              </w:rPr>
              <w:t>好</w:t>
            </w:r>
            <w:r w:rsidRPr="00B1214C">
              <w:rPr>
                <w:rFonts w:eastAsia="標楷體"/>
                <w:b/>
                <w:szCs w:val="24"/>
              </w:rPr>
              <w:t>眼</w:t>
            </w:r>
            <w:proofErr w:type="gramEnd"/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szCs w:val="24"/>
              </w:rPr>
              <w:t>新</w:t>
            </w:r>
            <w:r w:rsidRPr="00B1214C">
              <w:rPr>
                <w:rFonts w:eastAsia="標楷體"/>
                <w:b/>
                <w:szCs w:val="24"/>
              </w:rPr>
              <w:t>鋪</w:t>
            </w:r>
            <w:proofErr w:type="gramEnd"/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szCs w:val="24"/>
              </w:rPr>
              <w:t>新</w:t>
            </w:r>
            <w:r w:rsidRPr="00B1214C">
              <w:rPr>
                <w:rFonts w:eastAsia="標楷體"/>
                <w:b/>
                <w:szCs w:val="24"/>
              </w:rPr>
              <w:t>抱</w:t>
            </w:r>
            <w:proofErr w:type="gramEnd"/>
          </w:p>
        </w:tc>
      </w:tr>
    </w:tbl>
    <w:p w:rsidR="002E09E1" w:rsidRPr="00B1214C" w:rsidRDefault="002E09E1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</w:p>
    <w:p w:rsidR="00EF308A" w:rsidRPr="00B1214C" w:rsidRDefault="00EF308A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表四：分辨收音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一個</w:t>
            </w:r>
            <w:r w:rsidRPr="00B1214C">
              <w:rPr>
                <w:rFonts w:eastAsia="標楷體"/>
                <w:b/>
                <w:szCs w:val="24"/>
              </w:rPr>
              <w:t>鏟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szCs w:val="24"/>
              </w:rPr>
              <w:t>一個</w:t>
            </w:r>
            <w:r w:rsidRPr="00B1214C">
              <w:rPr>
                <w:rFonts w:eastAsia="標楷體"/>
                <w:b/>
                <w:szCs w:val="24"/>
              </w:rPr>
              <w:t>橙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szCs w:val="24"/>
              </w:rPr>
              <w:t>咁</w:t>
            </w:r>
            <w:r w:rsidRPr="00B1214C">
              <w:rPr>
                <w:rFonts w:eastAsia="標楷體"/>
                <w:b/>
                <w:szCs w:val="24"/>
              </w:rPr>
              <w:t>晏</w:t>
            </w:r>
            <w:proofErr w:type="gramEnd"/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szCs w:val="24"/>
              </w:rPr>
              <w:t>咁</w:t>
            </w:r>
            <w:proofErr w:type="gramEnd"/>
            <w:r w:rsidRPr="00B1214C">
              <w:rPr>
                <w:rFonts w:eastAsia="標楷體"/>
                <w:b/>
                <w:szCs w:val="24"/>
              </w:rPr>
              <w:t>硬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賺</w:t>
            </w:r>
            <w:r w:rsidRPr="00B1214C">
              <w:rPr>
                <w:rFonts w:eastAsia="標楷體"/>
                <w:szCs w:val="24"/>
              </w:rPr>
              <w:t>錢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爭</w:t>
            </w:r>
            <w:r w:rsidRPr="00B1214C">
              <w:rPr>
                <w:rFonts w:eastAsia="標楷體"/>
                <w:szCs w:val="24"/>
              </w:rPr>
              <w:t>錢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慢</w:t>
            </w:r>
            <w:r w:rsidRPr="00B1214C">
              <w:rPr>
                <w:rFonts w:eastAsia="標楷體"/>
                <w:szCs w:val="24"/>
              </w:rPr>
              <w:t>火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猛</w:t>
            </w:r>
            <w:r w:rsidRPr="00B1214C">
              <w:rPr>
                <w:rFonts w:eastAsia="標楷體"/>
                <w:szCs w:val="24"/>
              </w:rPr>
              <w:t>火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b/>
                <w:szCs w:val="24"/>
              </w:rPr>
              <w:t>孱</w:t>
            </w:r>
            <w:proofErr w:type="gramEnd"/>
            <w:r w:rsidRPr="00B1214C">
              <w:rPr>
                <w:rFonts w:eastAsia="標楷體"/>
                <w:szCs w:val="24"/>
              </w:rPr>
              <w:t>仔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adjustRightInd w:val="0"/>
              <w:snapToGrid w:val="0"/>
              <w:spacing w:before="60" w:after="60"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B1214C">
              <w:rPr>
                <w:rFonts w:eastAsia="標楷體"/>
                <w:b/>
                <w:szCs w:val="24"/>
              </w:rPr>
              <w:t>生</w:t>
            </w:r>
            <w:r w:rsidRPr="00B1214C">
              <w:rPr>
                <w:rFonts w:eastAsia="標楷體"/>
                <w:szCs w:val="24"/>
              </w:rPr>
              <w:t>仔</w:t>
            </w:r>
            <w:proofErr w:type="gramEnd"/>
          </w:p>
        </w:tc>
      </w:tr>
    </w:tbl>
    <w:p w:rsidR="002E09E1" w:rsidRPr="00B1214C" w:rsidRDefault="002E09E1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</w:p>
    <w:p w:rsidR="00EF308A" w:rsidRPr="00B1214C" w:rsidRDefault="00EF308A" w:rsidP="00EF308A">
      <w:pPr>
        <w:overflowPunct w:val="0"/>
        <w:snapToGrid w:val="0"/>
        <w:spacing w:before="120" w:after="120"/>
        <w:ind w:left="540"/>
        <w:rPr>
          <w:rFonts w:eastAsia="標楷體"/>
          <w:b/>
          <w:szCs w:val="24"/>
        </w:rPr>
      </w:pPr>
      <w:r w:rsidRPr="00B1214C">
        <w:rPr>
          <w:rFonts w:eastAsia="標楷體"/>
          <w:b/>
          <w:szCs w:val="24"/>
        </w:rPr>
        <w:t>表五：分辨收音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3150"/>
      </w:tblGrid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煎</w:t>
            </w:r>
            <w:r w:rsidRPr="00B1214C">
              <w:rPr>
                <w:rFonts w:eastAsia="標楷體"/>
                <w:szCs w:val="24"/>
              </w:rPr>
              <w:t>魚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蒸</w:t>
            </w:r>
            <w:r w:rsidRPr="00B1214C">
              <w:rPr>
                <w:rFonts w:eastAsia="標楷體"/>
                <w:szCs w:val="24"/>
              </w:rPr>
              <w:t>魚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千</w:t>
            </w:r>
            <w:r w:rsidRPr="00B1214C">
              <w:rPr>
                <w:rFonts w:eastAsia="標楷體"/>
                <w:szCs w:val="24"/>
              </w:rPr>
              <w:t>年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青</w:t>
            </w:r>
            <w:r w:rsidRPr="00B1214C">
              <w:rPr>
                <w:rFonts w:eastAsia="標楷體"/>
                <w:szCs w:val="24"/>
              </w:rPr>
              <w:t>年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煙</w:t>
            </w:r>
            <w:r w:rsidRPr="00B1214C">
              <w:rPr>
                <w:rFonts w:eastAsia="標楷體"/>
                <w:szCs w:val="24"/>
              </w:rPr>
              <w:t>花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櫻</w:t>
            </w:r>
            <w:r w:rsidRPr="00B1214C">
              <w:rPr>
                <w:rFonts w:eastAsia="標楷體"/>
                <w:szCs w:val="24"/>
              </w:rPr>
              <w:t>花</w:t>
            </w:r>
          </w:p>
        </w:tc>
      </w:tr>
      <w:tr w:rsidR="00EF308A" w:rsidRPr="00B1214C" w:rsidTr="00022107"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剪</w:t>
            </w:r>
            <w:r w:rsidRPr="00B1214C">
              <w:rPr>
                <w:rFonts w:eastAsia="標楷體"/>
                <w:szCs w:val="24"/>
              </w:rPr>
              <w:t>髮</w:t>
            </w:r>
          </w:p>
        </w:tc>
        <w:tc>
          <w:tcPr>
            <w:tcW w:w="3150" w:type="dxa"/>
          </w:tcPr>
          <w:p w:rsidR="00EF308A" w:rsidRPr="00B1214C" w:rsidRDefault="00EF308A" w:rsidP="00022107">
            <w:pPr>
              <w:overflowPunct w:val="0"/>
              <w:snapToGrid w:val="0"/>
              <w:spacing w:before="60" w:after="60" w:line="300" w:lineRule="exact"/>
              <w:jc w:val="center"/>
              <w:rPr>
                <w:rFonts w:eastAsia="標楷體"/>
                <w:szCs w:val="24"/>
              </w:rPr>
            </w:pPr>
            <w:r w:rsidRPr="00B1214C">
              <w:rPr>
                <w:rFonts w:eastAsia="標楷體"/>
                <w:b/>
                <w:szCs w:val="24"/>
              </w:rPr>
              <w:t>整</w:t>
            </w:r>
            <w:proofErr w:type="gramStart"/>
            <w:r w:rsidRPr="00B1214C">
              <w:rPr>
                <w:rFonts w:eastAsia="標楷體"/>
                <w:szCs w:val="24"/>
              </w:rPr>
              <w:t>髮</w:t>
            </w:r>
            <w:proofErr w:type="gramEnd"/>
          </w:p>
        </w:tc>
      </w:tr>
    </w:tbl>
    <w:p w:rsidR="00EF308A" w:rsidRPr="00B1214C" w:rsidRDefault="00EF308A" w:rsidP="00EF308A">
      <w:pPr>
        <w:overflowPunct w:val="0"/>
        <w:snapToGrid w:val="0"/>
        <w:spacing w:line="300" w:lineRule="exact"/>
        <w:jc w:val="both"/>
        <w:rPr>
          <w:rFonts w:eastAsia="標楷體"/>
          <w:szCs w:val="24"/>
        </w:rPr>
      </w:pPr>
    </w:p>
    <w:p w:rsidR="00EF308A" w:rsidRPr="00B1214C" w:rsidRDefault="00EF308A" w:rsidP="00EF308A">
      <w:pPr>
        <w:numPr>
          <w:ilvl w:val="0"/>
          <w:numId w:val="1"/>
        </w:numPr>
        <w:overflowPunct w:val="0"/>
        <w:snapToGrid w:val="0"/>
        <w:ind w:left="482" w:hanging="482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教導學生發音方法的同時，亦訓練學生的聆聽能力。要求學生找出他們聽到的詞語。</w:t>
      </w:r>
    </w:p>
    <w:p w:rsidR="00EF308A" w:rsidRPr="00B1214C" w:rsidRDefault="00EF308A" w:rsidP="00EF308A">
      <w:pPr>
        <w:overflowPunct w:val="0"/>
        <w:snapToGrid w:val="0"/>
        <w:jc w:val="both"/>
        <w:rPr>
          <w:rFonts w:eastAsia="標楷體"/>
          <w:szCs w:val="24"/>
        </w:rPr>
      </w:pPr>
    </w:p>
    <w:p w:rsidR="00EF308A" w:rsidRPr="00B1214C" w:rsidRDefault="00EF308A" w:rsidP="00EF308A">
      <w:pPr>
        <w:numPr>
          <w:ilvl w:val="0"/>
          <w:numId w:val="1"/>
        </w:numPr>
        <w:overflowPunct w:val="0"/>
        <w:snapToGrid w:val="0"/>
        <w:ind w:left="482" w:hanging="482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急口令遊戲：學生比賽正確讀出急口令</w:t>
      </w:r>
    </w:p>
    <w:p w:rsidR="00EF308A" w:rsidRPr="00B1214C" w:rsidRDefault="00EF308A" w:rsidP="00EF308A">
      <w:pPr>
        <w:overflowPunct w:val="0"/>
        <w:snapToGrid w:val="0"/>
        <w:spacing w:before="120"/>
        <w:ind w:left="480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例</w:t>
      </w:r>
      <w:proofErr w:type="gramStart"/>
      <w:r w:rsidRPr="00B1214C">
        <w:rPr>
          <w:rFonts w:eastAsia="標楷體"/>
          <w:szCs w:val="24"/>
        </w:rPr>
        <w:t>一</w:t>
      </w:r>
      <w:proofErr w:type="gramEnd"/>
      <w:r w:rsidRPr="00B1214C">
        <w:rPr>
          <w:rFonts w:eastAsia="標楷體"/>
          <w:szCs w:val="24"/>
        </w:rPr>
        <w:t>：</w:t>
      </w:r>
      <w:proofErr w:type="gramStart"/>
      <w:r w:rsidRPr="001C1D6B">
        <w:rPr>
          <w:rFonts w:ascii="標楷體" w:eastAsia="標楷體" w:hAnsi="標楷體"/>
          <w:szCs w:val="24"/>
        </w:rPr>
        <w:t>掘柑掘桔掘雞</w:t>
      </w:r>
      <w:proofErr w:type="gramEnd"/>
      <w:r w:rsidRPr="001C1D6B">
        <w:rPr>
          <w:rFonts w:ascii="標楷體" w:eastAsia="標楷體" w:hAnsi="標楷體"/>
          <w:szCs w:val="24"/>
        </w:rPr>
        <w:t>骨</w:t>
      </w:r>
      <w:r w:rsidRPr="00B1214C">
        <w:rPr>
          <w:rFonts w:eastAsia="標楷體"/>
          <w:szCs w:val="24"/>
        </w:rPr>
        <w:t>。</w:t>
      </w:r>
    </w:p>
    <w:p w:rsidR="00EF308A" w:rsidRPr="00B1214C" w:rsidRDefault="00EF308A" w:rsidP="00EF308A">
      <w:pPr>
        <w:overflowPunct w:val="0"/>
        <w:snapToGrid w:val="0"/>
        <w:spacing w:before="120"/>
        <w:ind w:left="482"/>
        <w:jc w:val="both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例二：入實驗室</w:t>
      </w:r>
      <w:proofErr w:type="gramStart"/>
      <w:r w:rsidRPr="00B1214C">
        <w:rPr>
          <w:rFonts w:eastAsia="標楷體"/>
          <w:szCs w:val="24"/>
        </w:rPr>
        <w:t>撳</w:t>
      </w:r>
      <w:proofErr w:type="gramEnd"/>
      <w:r w:rsidRPr="00B1214C">
        <w:rPr>
          <w:rFonts w:eastAsia="標楷體"/>
          <w:szCs w:val="24"/>
        </w:rPr>
        <w:t>緊急</w:t>
      </w:r>
      <w:proofErr w:type="gramStart"/>
      <w:r w:rsidRPr="00B1214C">
        <w:rPr>
          <w:rFonts w:eastAsia="標楷體"/>
          <w:szCs w:val="24"/>
        </w:rPr>
        <w:t>掣</w:t>
      </w:r>
      <w:proofErr w:type="gramEnd"/>
      <w:r w:rsidRPr="00B1214C">
        <w:rPr>
          <w:rFonts w:eastAsia="標楷體"/>
          <w:szCs w:val="24"/>
        </w:rPr>
        <w:t>。</w:t>
      </w:r>
    </w:p>
    <w:p w:rsidR="00964605" w:rsidRDefault="00EF308A" w:rsidP="00964605">
      <w:pPr>
        <w:overflowPunct w:val="0"/>
        <w:snapToGrid w:val="0"/>
        <w:ind w:firstLine="480"/>
        <w:rPr>
          <w:rFonts w:eastAsia="標楷體"/>
          <w:szCs w:val="24"/>
        </w:rPr>
      </w:pPr>
      <w:r w:rsidRPr="00B1214C">
        <w:rPr>
          <w:rFonts w:eastAsia="標楷體"/>
          <w:szCs w:val="24"/>
        </w:rPr>
        <w:t>例</w:t>
      </w:r>
      <w:proofErr w:type="gramStart"/>
      <w:r w:rsidRPr="00B1214C">
        <w:rPr>
          <w:rFonts w:eastAsia="標楷體"/>
          <w:szCs w:val="24"/>
        </w:rPr>
        <w:t>三</w:t>
      </w:r>
      <w:proofErr w:type="gramEnd"/>
      <w:r w:rsidRPr="00B1214C">
        <w:rPr>
          <w:rFonts w:eastAsia="標楷體"/>
          <w:szCs w:val="24"/>
        </w:rPr>
        <w:t>：</w:t>
      </w:r>
      <w:proofErr w:type="gramStart"/>
      <w:r w:rsidRPr="00B1214C">
        <w:rPr>
          <w:rFonts w:eastAsia="標楷體"/>
          <w:szCs w:val="24"/>
        </w:rPr>
        <w:t>一</w:t>
      </w:r>
      <w:proofErr w:type="gramEnd"/>
      <w:r w:rsidRPr="00B1214C">
        <w:rPr>
          <w:rFonts w:eastAsia="標楷體"/>
          <w:szCs w:val="24"/>
        </w:rPr>
        <w:t>蚊一斤雞，</w:t>
      </w:r>
      <w:proofErr w:type="gramStart"/>
      <w:r w:rsidRPr="00B1214C">
        <w:rPr>
          <w:rFonts w:eastAsia="標楷體"/>
          <w:szCs w:val="24"/>
        </w:rPr>
        <w:t>一</w:t>
      </w:r>
      <w:proofErr w:type="gramEnd"/>
      <w:r w:rsidRPr="00B1214C">
        <w:rPr>
          <w:rFonts w:eastAsia="標楷體"/>
          <w:szCs w:val="24"/>
        </w:rPr>
        <w:t>蚊</w:t>
      </w:r>
      <w:proofErr w:type="gramStart"/>
      <w:r w:rsidRPr="00B1214C">
        <w:rPr>
          <w:rFonts w:eastAsia="標楷體"/>
          <w:szCs w:val="24"/>
        </w:rPr>
        <w:t>一斤龜</w:t>
      </w:r>
      <w:proofErr w:type="gramEnd"/>
      <w:r w:rsidRPr="00B1214C">
        <w:rPr>
          <w:rFonts w:eastAsia="標楷體"/>
          <w:szCs w:val="24"/>
        </w:rPr>
        <w:t>，究竟</w:t>
      </w:r>
      <w:proofErr w:type="gramStart"/>
      <w:r w:rsidRPr="00B1214C">
        <w:rPr>
          <w:rFonts w:eastAsia="標楷體"/>
          <w:szCs w:val="24"/>
        </w:rPr>
        <w:t>係雞貴定係龜貴</w:t>
      </w:r>
      <w:proofErr w:type="gramEnd"/>
      <w:r w:rsidRPr="00B1214C">
        <w:rPr>
          <w:rFonts w:eastAsia="標楷體"/>
          <w:szCs w:val="24"/>
        </w:rPr>
        <w:t>？</w:t>
      </w:r>
    </w:p>
    <w:p w:rsidR="00964605" w:rsidRDefault="00964605" w:rsidP="00964605">
      <w:pPr>
        <w:overflowPunct w:val="0"/>
        <w:snapToGrid w:val="0"/>
        <w:jc w:val="center"/>
        <w:rPr>
          <w:rFonts w:eastAsia="標楷體"/>
          <w:szCs w:val="24"/>
        </w:rPr>
      </w:pPr>
    </w:p>
    <w:p w:rsidR="001C1D6B" w:rsidRDefault="001C1D6B" w:rsidP="00964605">
      <w:pPr>
        <w:overflowPunct w:val="0"/>
        <w:snapToGrid w:val="0"/>
        <w:jc w:val="right"/>
        <w:rPr>
          <w:rFonts w:eastAsia="標楷體"/>
          <w:szCs w:val="24"/>
        </w:rPr>
      </w:pPr>
    </w:p>
    <w:p w:rsidR="00964605" w:rsidRPr="00B1214C" w:rsidRDefault="00964605" w:rsidP="00964605">
      <w:pPr>
        <w:overflowPunct w:val="0"/>
        <w:snapToGrid w:val="0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資料來源：</w:t>
      </w:r>
      <w:r w:rsidRPr="00B1214C">
        <w:rPr>
          <w:rFonts w:eastAsia="標楷體"/>
          <w:szCs w:val="24"/>
        </w:rPr>
        <w:t>地利亞修女紀念學校</w:t>
      </w:r>
      <w:r w:rsidRPr="00B1214C">
        <w:rPr>
          <w:rFonts w:eastAsia="標楷體"/>
          <w:szCs w:val="24"/>
        </w:rPr>
        <w:t>(</w:t>
      </w:r>
      <w:r w:rsidRPr="00B1214C">
        <w:rPr>
          <w:rFonts w:eastAsia="標楷體"/>
          <w:szCs w:val="24"/>
        </w:rPr>
        <w:t>百老匯</w:t>
      </w:r>
      <w:r w:rsidRPr="00B1214C">
        <w:rPr>
          <w:rFonts w:eastAsia="標楷體"/>
          <w:szCs w:val="24"/>
        </w:rPr>
        <w:t xml:space="preserve">) </w:t>
      </w:r>
      <w:r w:rsidRPr="00B1214C">
        <w:rPr>
          <w:rFonts w:eastAsia="標楷體"/>
          <w:szCs w:val="24"/>
        </w:rPr>
        <w:t>資料</w:t>
      </w:r>
    </w:p>
    <w:p w:rsidR="00964605" w:rsidRPr="00B1214C" w:rsidRDefault="00964605" w:rsidP="00964605">
      <w:pPr>
        <w:overflowPunct w:val="0"/>
        <w:snapToGrid w:val="0"/>
        <w:jc w:val="center"/>
        <w:rPr>
          <w:rFonts w:eastAsia="標楷體"/>
          <w:szCs w:val="24"/>
        </w:rPr>
      </w:pPr>
    </w:p>
    <w:p w:rsidR="00504928" w:rsidRPr="00B1214C" w:rsidRDefault="00504928" w:rsidP="00EF308A">
      <w:pPr>
        <w:overflowPunct w:val="0"/>
        <w:snapToGrid w:val="0"/>
        <w:spacing w:before="120"/>
        <w:ind w:left="482"/>
        <w:jc w:val="both"/>
        <w:rPr>
          <w:rFonts w:eastAsia="標楷體"/>
          <w:szCs w:val="24"/>
        </w:rPr>
      </w:pPr>
    </w:p>
    <w:sectPr w:rsidR="00504928" w:rsidRPr="00B12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A29"/>
    <w:multiLevelType w:val="hybridMultilevel"/>
    <w:tmpl w:val="987C50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A6412A8"/>
    <w:multiLevelType w:val="hybridMultilevel"/>
    <w:tmpl w:val="8C44A48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53E2080"/>
    <w:multiLevelType w:val="hybridMultilevel"/>
    <w:tmpl w:val="F500C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8A"/>
    <w:rsid w:val="001C1D6B"/>
    <w:rsid w:val="002E09E1"/>
    <w:rsid w:val="00504928"/>
    <w:rsid w:val="008D63B1"/>
    <w:rsid w:val="00964605"/>
    <w:rsid w:val="00B1214C"/>
    <w:rsid w:val="00B361EE"/>
    <w:rsid w:val="00B62439"/>
    <w:rsid w:val="00D4363D"/>
    <w:rsid w:val="00E83EDF"/>
    <w:rsid w:val="00E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Hoi-yan Vincy</dc:creator>
  <cp:lastModifiedBy>YEUNG, Hoi-yan Vincy</cp:lastModifiedBy>
  <cp:revision>10</cp:revision>
  <dcterms:created xsi:type="dcterms:W3CDTF">2014-06-09T03:26:00Z</dcterms:created>
  <dcterms:modified xsi:type="dcterms:W3CDTF">2014-06-17T09:17:00Z</dcterms:modified>
</cp:coreProperties>
</file>