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7B" w:rsidRDefault="005C777B" w:rsidP="005C777B">
      <w:pPr>
        <w:rPr>
          <w:rFonts w:ascii="新細明體" w:eastAsia="新細明體" w:hAnsi="新細明體"/>
          <w:sz w:val="24"/>
          <w:u w:val="single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TW"/>
        </w:rPr>
        <w:t>活動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 xml:space="preserve"> </w:t>
      </w:r>
      <w:r>
        <w:rPr>
          <w:rFonts w:eastAsia="新細明體" w:cstheme="minorHAnsi" w:hint="eastAsia"/>
          <w:sz w:val="24"/>
          <w:szCs w:val="24"/>
          <w:lang w:val="en-US" w:eastAsia="zh-TW"/>
        </w:rPr>
        <w:t>3</w:t>
      </w:r>
      <w:bookmarkStart w:id="0" w:name="_GoBack"/>
      <w:bookmarkEnd w:id="0"/>
    </w:p>
    <w:p w:rsidR="00A77B60" w:rsidRPr="003A659A" w:rsidRDefault="00A77B60" w:rsidP="003A659A">
      <w:pPr>
        <w:jc w:val="center"/>
        <w:rPr>
          <w:rFonts w:ascii="新細明體" w:eastAsia="新細明體" w:hAnsi="新細明體"/>
          <w:sz w:val="24"/>
          <w:u w:val="single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u w:val="single"/>
          <w:lang w:val="en-US" w:eastAsia="zh-TW"/>
        </w:rPr>
        <w:t>綠色蔬菜的加熱</w:t>
      </w:r>
    </w:p>
    <w:p w:rsidR="00A77B60" w:rsidRDefault="00A77B60" w:rsidP="00A77B60">
      <w:pPr>
        <w:rPr>
          <w:rFonts w:cs="Times New Roman"/>
          <w:b/>
          <w:lang w:eastAsia="zh-TW"/>
        </w:rPr>
      </w:pPr>
      <w:r>
        <w:rPr>
          <w:rFonts w:cs="Times New Roman" w:hint="eastAsia"/>
          <w:b/>
          <w:lang w:eastAsia="zh-TW"/>
        </w:rPr>
        <w:t>目的</w:t>
      </w:r>
    </w:p>
    <w:p w:rsidR="004960AE" w:rsidRPr="003A659A" w:rsidRDefault="004960AE" w:rsidP="00A77B60">
      <w:p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研究在不同酸鹼</w:t>
      </w:r>
      <w:r>
        <w:rPr>
          <w:rFonts w:ascii="新細明體" w:eastAsia="新細明體" w:hAnsi="新細明體" w:hint="eastAsia"/>
          <w:sz w:val="24"/>
          <w:lang w:val="en-US" w:eastAsia="zh-TW"/>
        </w:rPr>
        <w:t>值下烹調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綠色蔬菜</w:t>
      </w:r>
      <w:r w:rsidR="003C5B88">
        <w:rPr>
          <w:rFonts w:ascii="新細明體" w:eastAsia="新細明體" w:hAnsi="新細明體" w:hint="eastAsia"/>
          <w:sz w:val="24"/>
          <w:lang w:val="en-US" w:eastAsia="zh-TW"/>
        </w:rPr>
        <w:t>時，蔬菜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顏色和質地</w:t>
      </w:r>
      <w:r w:rsidR="003C5B88">
        <w:rPr>
          <w:rFonts w:ascii="新細明體" w:eastAsia="新細明體" w:hAnsi="新細明體" w:hint="eastAsia"/>
          <w:sz w:val="24"/>
          <w:lang w:val="en-US" w:eastAsia="zh-TW"/>
        </w:rPr>
        <w:t>的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變化。</w:t>
      </w:r>
    </w:p>
    <w:p w:rsidR="00A77B60" w:rsidRDefault="00A77B60" w:rsidP="00A77B60">
      <w:pPr>
        <w:rPr>
          <w:rFonts w:cs="Times New Roman"/>
          <w:b/>
          <w:lang w:eastAsia="zh-TW"/>
        </w:rPr>
      </w:pPr>
      <w:r>
        <w:rPr>
          <w:rFonts w:cs="Times New Roman" w:hint="eastAsia"/>
          <w:b/>
          <w:lang w:eastAsia="zh-TW"/>
        </w:rPr>
        <w:t>原理</w:t>
      </w:r>
    </w:p>
    <w:p w:rsidR="000C6224" w:rsidRPr="003A659A" w:rsidRDefault="004960AE" w:rsidP="006B1C73">
      <w:pPr>
        <w:jc w:val="both"/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葉綠素的穩定性受酸鹼值影響。把綠色蔬菜加熱，酸會從細胞中釋放</w:t>
      </w:r>
      <w:r w:rsidR="00EC7DBA" w:rsidRPr="003A659A">
        <w:rPr>
          <w:rFonts w:ascii="新細明體" w:eastAsia="新細明體" w:hAnsi="新細明體" w:hint="eastAsia"/>
          <w:sz w:val="24"/>
          <w:lang w:val="en-US" w:eastAsia="zh-TW"/>
        </w:rPr>
        <w:t>到烹調介質。葉綠素會變成脫鎂葉綠素。顏色由鮮綠色變成無光澤橄欖棕色。</w:t>
      </w:r>
      <w:r w:rsidR="000C6224" w:rsidRPr="003A659A">
        <w:rPr>
          <w:rFonts w:ascii="新細明體" w:eastAsia="新細明體" w:hAnsi="新細明體"/>
          <w:sz w:val="24"/>
          <w:lang w:val="en-US" w:eastAsia="zh-TW"/>
        </w:rPr>
        <w:t xml:space="preserve"> </w:t>
      </w:r>
    </w:p>
    <w:p w:rsidR="00A77B60" w:rsidRDefault="00A77B60" w:rsidP="00A77B60">
      <w:pPr>
        <w:rPr>
          <w:rFonts w:cs="Times New Roman"/>
          <w:b/>
        </w:rPr>
      </w:pPr>
      <w:r>
        <w:rPr>
          <w:rFonts w:cs="Times New Roman" w:hint="eastAsia"/>
          <w:b/>
        </w:rPr>
        <w:t>用具及材料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47"/>
        <w:gridCol w:w="6045"/>
      </w:tblGrid>
      <w:tr w:rsidR="000B47E3" w:rsidRPr="00D0493C" w:rsidTr="00BE7F02">
        <w:tc>
          <w:tcPr>
            <w:tcW w:w="3119" w:type="dxa"/>
          </w:tcPr>
          <w:p w:rsidR="006B1C73" w:rsidRPr="000D7526" w:rsidRDefault="00A77B60" w:rsidP="00BE7F02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用具</w:t>
            </w:r>
          </w:p>
        </w:tc>
        <w:tc>
          <w:tcPr>
            <w:tcW w:w="6378" w:type="dxa"/>
          </w:tcPr>
          <w:p w:rsidR="006B1C73" w:rsidRPr="000D7526" w:rsidRDefault="00A77B60" w:rsidP="00BE7F02">
            <w:pPr>
              <w:rPr>
                <w:rFonts w:cs="Times New Roman"/>
                <w:b/>
                <w:lang w:eastAsia="zh-HK"/>
              </w:rPr>
            </w:pPr>
            <w:r>
              <w:rPr>
                <w:rFonts w:cs="Times New Roman" w:hint="eastAsia"/>
                <w:b/>
              </w:rPr>
              <w:t>材料</w:t>
            </w:r>
          </w:p>
        </w:tc>
      </w:tr>
      <w:tr w:rsidR="000B47E3" w:rsidRPr="00D0493C" w:rsidTr="006512B0">
        <w:trPr>
          <w:trHeight w:val="2711"/>
        </w:trPr>
        <w:tc>
          <w:tcPr>
            <w:tcW w:w="3119" w:type="dxa"/>
          </w:tcPr>
          <w:p w:rsidR="00EC7DBA" w:rsidRPr="003A659A" w:rsidRDefault="00EC7DBA" w:rsidP="006512B0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3A659A">
              <w:rPr>
                <w:rFonts w:ascii="新細明體" w:eastAsia="新細明體" w:hAnsi="新細明體" w:hint="eastAsia"/>
              </w:rPr>
              <w:t xml:space="preserve">磅 </w:t>
            </w:r>
          </w:p>
          <w:p w:rsidR="00EC7DBA" w:rsidRPr="003A659A" w:rsidRDefault="00EC7DBA" w:rsidP="006512B0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3A659A">
              <w:rPr>
                <w:rFonts w:ascii="新細明體" w:eastAsia="新細明體" w:hAnsi="新細明體" w:hint="eastAsia"/>
              </w:rPr>
              <w:t>鍋</w:t>
            </w:r>
          </w:p>
          <w:p w:rsidR="006B1C73" w:rsidRPr="00D0493C" w:rsidRDefault="00D80B9B" w:rsidP="006512B0">
            <w:pPr>
              <w:spacing w:line="276" w:lineRule="auto"/>
              <w:jc w:val="both"/>
              <w:rPr>
                <w:rFonts w:cs="Times New Roman"/>
              </w:rPr>
            </w:pPr>
            <w:r w:rsidRPr="003A659A">
              <w:rPr>
                <w:rFonts w:ascii="新細明體" w:eastAsia="新細明體" w:hAnsi="新細明體" w:hint="eastAsia"/>
              </w:rPr>
              <w:t>計時器</w:t>
            </w:r>
          </w:p>
        </w:tc>
        <w:tc>
          <w:tcPr>
            <w:tcW w:w="6378" w:type="dxa"/>
          </w:tcPr>
          <w:p w:rsidR="006B1C73" w:rsidRPr="003A659A" w:rsidRDefault="00D80B9B" w:rsidP="003A659A">
            <w:pPr>
              <w:spacing w:after="200" w:line="276" w:lineRule="auto"/>
              <w:jc w:val="both"/>
              <w:rPr>
                <w:rFonts w:ascii="新細明體" w:eastAsia="新細明體" w:hAnsi="新細明體"/>
              </w:rPr>
            </w:pPr>
            <w:r w:rsidRPr="003A659A">
              <w:rPr>
                <w:rFonts w:ascii="新細明體" w:eastAsia="新細明體" w:hAnsi="新細明體" w:hint="eastAsia"/>
              </w:rPr>
              <w:t>綠色蔬菜</w:t>
            </w:r>
            <w:r w:rsidR="000C6224" w:rsidRPr="003A659A">
              <w:rPr>
                <w:rFonts w:ascii="新細明體" w:eastAsia="新細明體" w:hAnsi="新細明體"/>
              </w:rPr>
              <w:t xml:space="preserve"> </w:t>
            </w:r>
            <w:r w:rsidR="0096258A" w:rsidRPr="003A659A">
              <w:rPr>
                <w:rFonts w:ascii="新細明體" w:eastAsia="新細明體" w:hAnsi="新細明體"/>
              </w:rPr>
              <w:t xml:space="preserve">100 </w:t>
            </w:r>
            <w:r w:rsidRPr="003A659A">
              <w:rPr>
                <w:rFonts w:ascii="新細明體" w:eastAsia="新細明體" w:hAnsi="新細明體" w:hint="eastAsia"/>
              </w:rPr>
              <w:t>克</w:t>
            </w:r>
            <w:r w:rsidR="0096258A" w:rsidRPr="003A659A">
              <w:rPr>
                <w:rFonts w:ascii="新細明體" w:eastAsia="新細明體" w:hAnsi="新細明體"/>
              </w:rPr>
              <w:t xml:space="preserve"> x 3 (300</w:t>
            </w:r>
            <w:r w:rsidRPr="003A659A">
              <w:rPr>
                <w:rFonts w:ascii="新細明體" w:eastAsia="新細明體" w:hAnsi="新細明體" w:hint="eastAsia"/>
              </w:rPr>
              <w:t>克</w:t>
            </w:r>
            <w:r w:rsidR="0096258A" w:rsidRPr="003A659A">
              <w:rPr>
                <w:rFonts w:ascii="新細明體" w:eastAsia="新細明體" w:hAnsi="新細明體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3719"/>
            </w:tblGrid>
            <w:tr w:rsidR="000B47E3" w:rsidRPr="003A659A" w:rsidTr="003A659A">
              <w:trPr>
                <w:trHeight w:val="314"/>
              </w:trPr>
              <w:tc>
                <w:tcPr>
                  <w:tcW w:w="1608" w:type="dxa"/>
                </w:tcPr>
                <w:p w:rsidR="000B47E3" w:rsidRPr="003A659A" w:rsidRDefault="00D80B9B" w:rsidP="006512B0">
                  <w:pPr>
                    <w:spacing w:line="276" w:lineRule="auto"/>
                    <w:jc w:val="both"/>
                    <w:rPr>
                      <w:rFonts w:ascii="新細明體" w:eastAsia="新細明體" w:hAnsi="新細明體"/>
                    </w:rPr>
                  </w:pPr>
                  <w:r w:rsidRPr="003A659A">
                    <w:rPr>
                      <w:rFonts w:ascii="新細明體" w:eastAsia="新細明體" w:hAnsi="新細明體" w:hint="eastAsia"/>
                    </w:rPr>
                    <w:t>樣本</w:t>
                  </w:r>
                  <w:r w:rsidR="0091204F" w:rsidRPr="003A659A">
                    <w:rPr>
                      <w:rFonts w:ascii="新細明體" w:eastAsia="新細明體" w:hAnsi="新細明體"/>
                    </w:rPr>
                    <w:t>A</w:t>
                  </w:r>
                  <w:r w:rsidR="003E2525">
                    <w:rPr>
                      <w:rFonts w:ascii="新細明體" w:eastAsia="新細明體" w:hAnsi="新細明體"/>
                    </w:rPr>
                    <w:t>:</w:t>
                  </w:r>
                </w:p>
              </w:tc>
              <w:tc>
                <w:tcPr>
                  <w:tcW w:w="3719" w:type="dxa"/>
                </w:tcPr>
                <w:p w:rsidR="000B47E3" w:rsidRPr="003A659A" w:rsidRDefault="00D80B9B" w:rsidP="006512B0">
                  <w:pPr>
                    <w:spacing w:line="276" w:lineRule="auto"/>
                    <w:jc w:val="both"/>
                    <w:rPr>
                      <w:rFonts w:ascii="新細明體" w:eastAsia="新細明體" w:hAnsi="新細明體"/>
                    </w:rPr>
                  </w:pPr>
                  <w:r w:rsidRPr="003A659A">
                    <w:rPr>
                      <w:rFonts w:ascii="新細明體" w:eastAsia="新細明體" w:hAnsi="新細明體" w:hint="eastAsia"/>
                    </w:rPr>
                    <w:t>水</w:t>
                  </w:r>
                  <w:r w:rsidR="000B47E3" w:rsidRPr="003A659A">
                    <w:rPr>
                      <w:rFonts w:ascii="新細明體" w:eastAsia="新細明體" w:hAnsi="新細明體"/>
                    </w:rPr>
                    <w:t xml:space="preserve"> 200</w:t>
                  </w:r>
                  <w:r w:rsidRPr="003A659A">
                    <w:rPr>
                      <w:rFonts w:ascii="新細明體" w:eastAsia="新細明體" w:hAnsi="新細明體" w:hint="eastAsia"/>
                    </w:rPr>
                    <w:t>毫升</w:t>
                  </w:r>
                </w:p>
              </w:tc>
            </w:tr>
            <w:tr w:rsidR="000B47E3" w:rsidRPr="003A659A" w:rsidTr="003A659A">
              <w:trPr>
                <w:trHeight w:val="628"/>
              </w:trPr>
              <w:tc>
                <w:tcPr>
                  <w:tcW w:w="1608" w:type="dxa"/>
                </w:tcPr>
                <w:p w:rsidR="000B47E3" w:rsidRPr="003A659A" w:rsidRDefault="00D80B9B" w:rsidP="006512B0">
                  <w:pPr>
                    <w:spacing w:line="276" w:lineRule="auto"/>
                    <w:jc w:val="both"/>
                    <w:rPr>
                      <w:rFonts w:ascii="新細明體" w:eastAsia="新細明體" w:hAnsi="新細明體"/>
                    </w:rPr>
                  </w:pPr>
                  <w:r w:rsidRPr="003A659A">
                    <w:rPr>
                      <w:rFonts w:ascii="新細明體" w:eastAsia="新細明體" w:hAnsi="新細明體" w:hint="eastAsia"/>
                    </w:rPr>
                    <w:t>樣本</w:t>
                  </w:r>
                  <w:r w:rsidR="000B47E3" w:rsidRPr="003A659A">
                    <w:rPr>
                      <w:rFonts w:ascii="新細明體" w:eastAsia="新細明體" w:hAnsi="新細明體"/>
                    </w:rPr>
                    <w:t xml:space="preserve"> </w:t>
                  </w:r>
                  <w:r w:rsidR="0091204F" w:rsidRPr="003A659A">
                    <w:rPr>
                      <w:rFonts w:ascii="新細明體" w:eastAsia="新細明體" w:hAnsi="新細明體"/>
                    </w:rPr>
                    <w:t>B</w:t>
                  </w:r>
                  <w:r w:rsidR="003E2525">
                    <w:rPr>
                      <w:rFonts w:ascii="新細明體" w:eastAsia="新細明體" w:hAnsi="新細明體"/>
                    </w:rPr>
                    <w:t>:</w:t>
                  </w:r>
                </w:p>
              </w:tc>
              <w:tc>
                <w:tcPr>
                  <w:tcW w:w="3719" w:type="dxa"/>
                </w:tcPr>
                <w:p w:rsidR="000B47E3" w:rsidRPr="003A659A" w:rsidRDefault="00D80B9B" w:rsidP="006512B0">
                  <w:pPr>
                    <w:spacing w:line="276" w:lineRule="auto"/>
                    <w:jc w:val="both"/>
                    <w:rPr>
                      <w:rFonts w:ascii="新細明體" w:eastAsia="新細明體" w:hAnsi="新細明體"/>
                    </w:rPr>
                  </w:pPr>
                  <w:r w:rsidRPr="003A659A">
                    <w:rPr>
                      <w:rFonts w:ascii="新細明體" w:eastAsia="新細明體" w:hAnsi="新細明體" w:hint="eastAsia"/>
                    </w:rPr>
                    <w:t>水</w:t>
                  </w:r>
                  <w:r w:rsidR="000B47E3" w:rsidRPr="003A659A">
                    <w:rPr>
                      <w:rFonts w:ascii="新細明體" w:eastAsia="新細明體" w:hAnsi="新細明體"/>
                    </w:rPr>
                    <w:t xml:space="preserve"> 200</w:t>
                  </w:r>
                  <w:r w:rsidRPr="003A659A">
                    <w:rPr>
                      <w:rFonts w:ascii="新細明體" w:eastAsia="新細明體" w:hAnsi="新細明體" w:hint="eastAsia"/>
                    </w:rPr>
                    <w:t>毫升</w:t>
                  </w:r>
                </w:p>
                <w:p w:rsidR="000B47E3" w:rsidRPr="003A659A" w:rsidRDefault="006512B0" w:rsidP="006512B0">
                  <w:pPr>
                    <w:spacing w:line="276" w:lineRule="auto"/>
                    <w:jc w:val="both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食用梳</w:t>
                  </w:r>
                  <w:r w:rsidR="003672DD" w:rsidRPr="003A659A">
                    <w:rPr>
                      <w:rFonts w:ascii="新細明體" w:eastAsia="新細明體" w:hAnsi="新細明體" w:hint="eastAsia"/>
                    </w:rPr>
                    <w:t>打粉</w:t>
                  </w:r>
                  <w:r w:rsidR="000B47E3" w:rsidRPr="003A659A">
                    <w:rPr>
                      <w:rFonts w:ascii="新細明體" w:eastAsia="新細明體" w:hAnsi="新細明體"/>
                    </w:rPr>
                    <w:t>¼</w:t>
                  </w:r>
                  <w:r w:rsidR="00D80B9B" w:rsidRPr="003A659A">
                    <w:rPr>
                      <w:rFonts w:ascii="新細明體" w:eastAsia="新細明體" w:hAnsi="新細明體" w:hint="eastAsia"/>
                    </w:rPr>
                    <w:t>茶匙</w:t>
                  </w:r>
                </w:p>
              </w:tc>
            </w:tr>
            <w:tr w:rsidR="000B47E3" w:rsidRPr="003A659A" w:rsidTr="003A659A">
              <w:trPr>
                <w:trHeight w:val="637"/>
              </w:trPr>
              <w:tc>
                <w:tcPr>
                  <w:tcW w:w="1608" w:type="dxa"/>
                </w:tcPr>
                <w:p w:rsidR="000B47E3" w:rsidRPr="003A659A" w:rsidRDefault="00D80B9B" w:rsidP="006512B0">
                  <w:pPr>
                    <w:spacing w:line="276" w:lineRule="auto"/>
                    <w:jc w:val="both"/>
                    <w:rPr>
                      <w:rFonts w:ascii="新細明體" w:eastAsia="新細明體" w:hAnsi="新細明體"/>
                    </w:rPr>
                  </w:pPr>
                  <w:r w:rsidRPr="003A659A">
                    <w:rPr>
                      <w:rFonts w:ascii="新細明體" w:eastAsia="新細明體" w:hAnsi="新細明體" w:hint="eastAsia"/>
                    </w:rPr>
                    <w:t>樣本</w:t>
                  </w:r>
                  <w:r w:rsidR="000B47E3" w:rsidRPr="003A659A">
                    <w:rPr>
                      <w:rFonts w:ascii="新細明體" w:eastAsia="新細明體" w:hAnsi="新細明體"/>
                    </w:rPr>
                    <w:t xml:space="preserve"> </w:t>
                  </w:r>
                  <w:r w:rsidR="0091204F" w:rsidRPr="003A659A">
                    <w:rPr>
                      <w:rFonts w:ascii="新細明體" w:eastAsia="新細明體" w:hAnsi="新細明體"/>
                    </w:rPr>
                    <w:t>C</w:t>
                  </w:r>
                  <w:r w:rsidR="000B47E3" w:rsidRPr="003A659A">
                    <w:rPr>
                      <w:rFonts w:ascii="新細明體" w:eastAsia="新細明體" w:hAnsi="新細明體"/>
                    </w:rPr>
                    <w:t>:</w:t>
                  </w:r>
                </w:p>
              </w:tc>
              <w:tc>
                <w:tcPr>
                  <w:tcW w:w="3719" w:type="dxa"/>
                </w:tcPr>
                <w:p w:rsidR="003672DD" w:rsidRPr="003A659A" w:rsidRDefault="003672DD" w:rsidP="006512B0">
                  <w:pPr>
                    <w:spacing w:line="276" w:lineRule="auto"/>
                    <w:jc w:val="both"/>
                    <w:rPr>
                      <w:rFonts w:ascii="新細明體" w:eastAsia="新細明體" w:hAnsi="新細明體"/>
                    </w:rPr>
                  </w:pPr>
                  <w:r w:rsidRPr="003A659A">
                    <w:rPr>
                      <w:rFonts w:ascii="新細明體" w:eastAsia="新細明體" w:hAnsi="新細明體" w:hint="eastAsia"/>
                    </w:rPr>
                    <w:t>水</w:t>
                  </w:r>
                  <w:r w:rsidRPr="003A659A">
                    <w:rPr>
                      <w:rFonts w:ascii="新細明體" w:eastAsia="新細明體" w:hAnsi="新細明體"/>
                    </w:rPr>
                    <w:t xml:space="preserve"> 200</w:t>
                  </w:r>
                  <w:r w:rsidRPr="003A659A">
                    <w:rPr>
                      <w:rFonts w:ascii="新細明體" w:eastAsia="新細明體" w:hAnsi="新細明體" w:hint="eastAsia"/>
                    </w:rPr>
                    <w:t>毫升</w:t>
                  </w:r>
                </w:p>
                <w:p w:rsidR="000B47E3" w:rsidRPr="003A659A" w:rsidRDefault="003672DD" w:rsidP="006512B0">
                  <w:pPr>
                    <w:spacing w:line="276" w:lineRule="auto"/>
                    <w:jc w:val="both"/>
                    <w:rPr>
                      <w:rFonts w:ascii="新細明體" w:eastAsia="新細明體" w:hAnsi="新細明體"/>
                    </w:rPr>
                  </w:pPr>
                  <w:r w:rsidRPr="003A659A">
                    <w:rPr>
                      <w:rFonts w:ascii="新細明體" w:eastAsia="新細明體" w:hAnsi="新細明體" w:hint="eastAsia"/>
                    </w:rPr>
                    <w:t>醋</w:t>
                  </w:r>
                  <w:r w:rsidR="000B47E3" w:rsidRPr="003A659A">
                    <w:rPr>
                      <w:rFonts w:ascii="新細明體" w:eastAsia="新細明體" w:hAnsi="新細明體"/>
                    </w:rPr>
                    <w:t>1</w:t>
                  </w:r>
                  <w:r w:rsidR="00D80B9B" w:rsidRPr="003A659A">
                    <w:rPr>
                      <w:rFonts w:ascii="新細明體" w:eastAsia="新細明體" w:hAnsi="新細明體" w:hint="eastAsia"/>
                    </w:rPr>
                    <w:t>湯匙</w:t>
                  </w:r>
                </w:p>
              </w:tc>
            </w:tr>
          </w:tbl>
          <w:p w:rsidR="006B1C73" w:rsidRPr="000B47E3" w:rsidRDefault="006B1C73" w:rsidP="000B47E3">
            <w:pPr>
              <w:rPr>
                <w:rFonts w:eastAsia="新細明體" w:cs="Times New Roman"/>
              </w:rPr>
            </w:pPr>
          </w:p>
        </w:tc>
      </w:tr>
    </w:tbl>
    <w:p w:rsidR="00B22FAF" w:rsidRDefault="00B22FAF" w:rsidP="00B22FAF">
      <w:pPr>
        <w:spacing w:after="0"/>
        <w:rPr>
          <w:b/>
          <w:sz w:val="24"/>
          <w:lang w:val="en-US"/>
        </w:rPr>
      </w:pPr>
    </w:p>
    <w:p w:rsidR="00A77B60" w:rsidRPr="00A77B60" w:rsidRDefault="00A77B60" w:rsidP="00A77B60">
      <w:pPr>
        <w:rPr>
          <w:rFonts w:cs="Times New Roman"/>
          <w:b/>
        </w:rPr>
      </w:pPr>
      <w:r w:rsidRPr="00A77B60">
        <w:rPr>
          <w:rFonts w:cs="Times New Roman" w:hint="eastAsia"/>
          <w:b/>
        </w:rPr>
        <w:t>步驟</w:t>
      </w:r>
    </w:p>
    <w:p w:rsidR="0096258A" w:rsidRPr="003A659A" w:rsidRDefault="00316837" w:rsidP="00316837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準備三個樣本。</w:t>
      </w:r>
    </w:p>
    <w:p w:rsidR="00316837" w:rsidRPr="003A659A" w:rsidRDefault="00316837" w:rsidP="0096258A">
      <w:pPr>
        <w:pStyle w:val="a4"/>
        <w:numPr>
          <w:ilvl w:val="1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水</w:t>
      </w:r>
      <w:r w:rsidRPr="003A659A">
        <w:rPr>
          <w:rFonts w:ascii="新細明體" w:eastAsia="新細明體" w:hAnsi="新細明體"/>
          <w:sz w:val="24"/>
          <w:lang w:val="en-US" w:eastAsia="zh-TW"/>
        </w:rPr>
        <w:t xml:space="preserve"> 200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毫升</w:t>
      </w:r>
    </w:p>
    <w:p w:rsidR="00316837" w:rsidRPr="003A659A" w:rsidRDefault="00316837" w:rsidP="00316837">
      <w:pPr>
        <w:pStyle w:val="a4"/>
        <w:numPr>
          <w:ilvl w:val="1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水</w:t>
      </w:r>
      <w:r w:rsidRPr="003A659A">
        <w:rPr>
          <w:rFonts w:ascii="新細明體" w:eastAsia="新細明體" w:hAnsi="新細明體"/>
          <w:sz w:val="24"/>
          <w:lang w:val="en-US" w:eastAsia="zh-TW"/>
        </w:rPr>
        <w:t xml:space="preserve"> 200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毫升</w:t>
      </w:r>
      <w:r w:rsidR="0096258A" w:rsidRPr="003A659A">
        <w:rPr>
          <w:rFonts w:ascii="新細明體" w:eastAsia="新細明體" w:hAnsi="新細明體"/>
          <w:sz w:val="24"/>
          <w:lang w:val="en-US" w:eastAsia="zh-TW"/>
        </w:rPr>
        <w:t xml:space="preserve">+ </w:t>
      </w:r>
      <w:r w:rsidR="006512B0">
        <w:rPr>
          <w:rFonts w:ascii="新細明體" w:eastAsia="新細明體" w:hAnsi="新細明體" w:hint="eastAsia"/>
          <w:sz w:val="24"/>
          <w:lang w:val="en-US" w:eastAsia="zh-TW"/>
        </w:rPr>
        <w:t>食用梳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打粉</w:t>
      </w:r>
      <w:r w:rsidRPr="003A659A">
        <w:rPr>
          <w:rFonts w:ascii="新細明體" w:eastAsia="新細明體" w:hAnsi="新細明體"/>
          <w:sz w:val="24"/>
          <w:lang w:val="en-US" w:eastAsia="zh-TW"/>
        </w:rPr>
        <w:t>¼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茶匙</w:t>
      </w:r>
    </w:p>
    <w:p w:rsidR="0096258A" w:rsidRPr="003A659A" w:rsidRDefault="00316837" w:rsidP="00316837">
      <w:pPr>
        <w:pStyle w:val="a4"/>
        <w:numPr>
          <w:ilvl w:val="1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水</w:t>
      </w:r>
      <w:r w:rsidRPr="003A659A">
        <w:rPr>
          <w:rFonts w:ascii="新細明體" w:eastAsia="新細明體" w:hAnsi="新細明體"/>
          <w:sz w:val="24"/>
          <w:lang w:val="en-US" w:eastAsia="zh-TW"/>
        </w:rPr>
        <w:t xml:space="preserve"> 200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毫升</w:t>
      </w:r>
      <w:r w:rsidR="0096258A" w:rsidRPr="003A659A">
        <w:rPr>
          <w:rFonts w:ascii="新細明體" w:eastAsia="新細明體" w:hAnsi="新細明體"/>
          <w:sz w:val="24"/>
          <w:lang w:val="en-US" w:eastAsia="zh-TW"/>
        </w:rPr>
        <w:t xml:space="preserve">+ 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醋</w:t>
      </w:r>
      <w:r w:rsidRPr="003A659A">
        <w:rPr>
          <w:rFonts w:ascii="新細明體" w:eastAsia="新細明體" w:hAnsi="新細明體"/>
          <w:sz w:val="24"/>
          <w:lang w:val="en-US" w:eastAsia="zh-TW"/>
        </w:rPr>
        <w:t>1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湯匙</w:t>
      </w:r>
    </w:p>
    <w:p w:rsidR="00316837" w:rsidRPr="003A659A" w:rsidRDefault="00316837" w:rsidP="00316837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將樣本煮沸。</w:t>
      </w:r>
    </w:p>
    <w:p w:rsidR="0096258A" w:rsidRPr="003A659A" w:rsidRDefault="00316837" w:rsidP="00316837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每個樣本加入100克蔬菜，再煮4分鐘。</w:t>
      </w:r>
    </w:p>
    <w:p w:rsidR="00316837" w:rsidRDefault="00316837" w:rsidP="00316837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記錄在不同樣本中煮熟的蔬菜的顏色和質地。</w:t>
      </w:r>
    </w:p>
    <w:p w:rsidR="00A77B60" w:rsidRPr="00A77B60" w:rsidRDefault="00A77B60" w:rsidP="00A77B60">
      <w:pPr>
        <w:rPr>
          <w:rFonts w:cs="Times New Roman"/>
          <w:b/>
        </w:rPr>
      </w:pPr>
      <w:r w:rsidRPr="00A77B60">
        <w:rPr>
          <w:rFonts w:cs="Times New Roman" w:hint="eastAsia"/>
          <w:b/>
        </w:rPr>
        <w:t>結果</w:t>
      </w: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093"/>
        <w:gridCol w:w="3431"/>
        <w:gridCol w:w="3402"/>
      </w:tblGrid>
      <w:tr w:rsidR="0096258A" w:rsidRPr="0047635E" w:rsidTr="00B22FAF">
        <w:trPr>
          <w:trHeight w:val="421"/>
        </w:trPr>
        <w:tc>
          <w:tcPr>
            <w:tcW w:w="2093" w:type="dxa"/>
          </w:tcPr>
          <w:p w:rsidR="0096258A" w:rsidRPr="0047635E" w:rsidRDefault="000A652F" w:rsidP="00B22FAF">
            <w:pPr>
              <w:adjustRightInd w:val="0"/>
              <w:snapToGrid w:val="0"/>
              <w:jc w:val="center"/>
              <w:rPr>
                <w:rFonts w:cs="Times New Roman"/>
                <w:b/>
              </w:rPr>
            </w:pPr>
            <w:r w:rsidRPr="000A652F">
              <w:rPr>
                <w:rFonts w:cs="Times New Roman" w:hint="eastAsia"/>
                <w:b/>
              </w:rPr>
              <w:t>烹調介質</w:t>
            </w:r>
          </w:p>
        </w:tc>
        <w:tc>
          <w:tcPr>
            <w:tcW w:w="3431" w:type="dxa"/>
          </w:tcPr>
          <w:p w:rsidR="0096258A" w:rsidRDefault="000A652F" w:rsidP="00B22FAF">
            <w:pPr>
              <w:adjustRightInd w:val="0"/>
              <w:snapToGrid w:val="0"/>
              <w:jc w:val="center"/>
              <w:rPr>
                <w:rFonts w:cs="Times New Roman"/>
                <w:b/>
              </w:rPr>
            </w:pPr>
            <w:r w:rsidRPr="000A652F">
              <w:rPr>
                <w:rFonts w:cs="Times New Roman" w:hint="eastAsia"/>
                <w:b/>
              </w:rPr>
              <w:t>煮熟的蔬菜的顏色</w:t>
            </w:r>
          </w:p>
        </w:tc>
        <w:tc>
          <w:tcPr>
            <w:tcW w:w="3402" w:type="dxa"/>
          </w:tcPr>
          <w:p w:rsidR="0096258A" w:rsidRDefault="000A652F" w:rsidP="00B22FAF">
            <w:pPr>
              <w:adjustRightInd w:val="0"/>
              <w:snapToGrid w:val="0"/>
              <w:jc w:val="center"/>
              <w:rPr>
                <w:rFonts w:cs="Times New Roman"/>
                <w:b/>
              </w:rPr>
            </w:pPr>
            <w:r w:rsidRPr="000A652F">
              <w:rPr>
                <w:rFonts w:cs="Times New Roman" w:hint="eastAsia"/>
                <w:b/>
              </w:rPr>
              <w:t>煮熟的蔬菜的質地</w:t>
            </w:r>
          </w:p>
        </w:tc>
      </w:tr>
      <w:tr w:rsidR="0096258A" w:rsidRPr="0047635E" w:rsidTr="00B22FAF">
        <w:trPr>
          <w:trHeight w:val="487"/>
        </w:trPr>
        <w:tc>
          <w:tcPr>
            <w:tcW w:w="2093" w:type="dxa"/>
          </w:tcPr>
          <w:p w:rsidR="0096258A" w:rsidRPr="00B074A8" w:rsidRDefault="00101806" w:rsidP="00B074A8">
            <w:pPr>
              <w:jc w:val="center"/>
              <w:rPr>
                <w:rFonts w:cs="Times New Roman"/>
              </w:rPr>
            </w:pPr>
            <w:r>
              <w:rPr>
                <w:rFonts w:ascii="新細明體" w:eastAsia="新細明體" w:hAnsi="新細明體" w:cs="Times New Roman" w:hint="eastAsia"/>
                <w:lang w:eastAsia="zh-HK"/>
              </w:rPr>
              <w:t>清水</w:t>
            </w:r>
          </w:p>
        </w:tc>
        <w:tc>
          <w:tcPr>
            <w:tcW w:w="3431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</w:tr>
      <w:tr w:rsidR="0096258A" w:rsidRPr="0047635E" w:rsidTr="00B22FAF">
        <w:trPr>
          <w:trHeight w:val="487"/>
        </w:trPr>
        <w:tc>
          <w:tcPr>
            <w:tcW w:w="2093" w:type="dxa"/>
          </w:tcPr>
          <w:p w:rsidR="0096258A" w:rsidRPr="0047635E" w:rsidRDefault="00101806" w:rsidP="001079B2">
            <w:pPr>
              <w:jc w:val="center"/>
              <w:rPr>
                <w:rFonts w:cs="Times New Roman"/>
              </w:rPr>
            </w:pPr>
            <w:r w:rsidRPr="00316837">
              <w:rPr>
                <w:rFonts w:ascii="新細明體" w:eastAsia="新細明體" w:hAnsi="新細明體" w:cs="Times New Roman" w:hint="eastAsia"/>
                <w:lang w:eastAsia="zh-HK"/>
              </w:rPr>
              <w:t>水</w:t>
            </w:r>
            <w:r w:rsidRPr="00316837">
              <w:rPr>
                <w:rFonts w:cs="Times New Roman"/>
              </w:rPr>
              <w:t xml:space="preserve"> </w:t>
            </w:r>
            <w:r w:rsidRPr="00316837">
              <w:t xml:space="preserve">+ </w:t>
            </w:r>
            <w:r w:rsidR="001079B2">
              <w:rPr>
                <w:rFonts w:ascii="新細明體" w:eastAsia="新細明體" w:hAnsi="新細明體" w:hint="eastAsia"/>
              </w:rPr>
              <w:t>食用梳</w:t>
            </w:r>
            <w:r w:rsidRPr="003672DD">
              <w:rPr>
                <w:rFonts w:cs="Times New Roman" w:hint="eastAsia"/>
              </w:rPr>
              <w:t>打</w:t>
            </w:r>
            <w:r>
              <w:rPr>
                <w:rFonts w:ascii="新細明體" w:eastAsia="新細明體" w:hAnsi="新細明體" w:cs="Times New Roman" w:hint="eastAsia"/>
                <w:lang w:eastAsia="zh-HK"/>
              </w:rPr>
              <w:t>粉</w:t>
            </w:r>
          </w:p>
        </w:tc>
        <w:tc>
          <w:tcPr>
            <w:tcW w:w="3431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</w:tr>
      <w:tr w:rsidR="0096258A" w:rsidRPr="0047635E" w:rsidTr="00B22FAF">
        <w:trPr>
          <w:trHeight w:val="487"/>
        </w:trPr>
        <w:tc>
          <w:tcPr>
            <w:tcW w:w="2093" w:type="dxa"/>
          </w:tcPr>
          <w:p w:rsidR="0096258A" w:rsidRDefault="00B0735E" w:rsidP="00B0735E">
            <w:pPr>
              <w:jc w:val="center"/>
              <w:rPr>
                <w:rFonts w:cs="Times New Roman"/>
              </w:rPr>
            </w:pPr>
            <w:r w:rsidRPr="00316837">
              <w:rPr>
                <w:rFonts w:ascii="新細明體" w:eastAsia="新細明體" w:hAnsi="新細明體" w:cs="Times New Roman" w:hint="eastAsia"/>
                <w:lang w:eastAsia="zh-HK"/>
              </w:rPr>
              <w:t>水</w:t>
            </w:r>
            <w:r w:rsidRPr="00316837">
              <w:rPr>
                <w:rFonts w:cs="Times New Roman"/>
              </w:rPr>
              <w:t xml:space="preserve"> </w:t>
            </w:r>
            <w:r w:rsidRPr="00316837">
              <w:t xml:space="preserve">+ </w:t>
            </w:r>
            <w:r w:rsidRPr="003672DD">
              <w:rPr>
                <w:rFonts w:cs="Times New Roman" w:hint="eastAsia"/>
              </w:rPr>
              <w:t>醋</w:t>
            </w:r>
          </w:p>
        </w:tc>
        <w:tc>
          <w:tcPr>
            <w:tcW w:w="3431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258A" w:rsidRPr="0047635E" w:rsidRDefault="0096258A" w:rsidP="00B074A8">
            <w:pPr>
              <w:jc w:val="center"/>
              <w:rPr>
                <w:rFonts w:cs="Times New Roman"/>
              </w:rPr>
            </w:pPr>
          </w:p>
        </w:tc>
      </w:tr>
    </w:tbl>
    <w:p w:rsidR="00B074A8" w:rsidRDefault="00B074A8" w:rsidP="00476169">
      <w:pPr>
        <w:rPr>
          <w:b/>
          <w:sz w:val="24"/>
          <w:lang w:val="en-US"/>
        </w:rPr>
      </w:pPr>
    </w:p>
    <w:p w:rsidR="00B0735E" w:rsidRDefault="00B0735E" w:rsidP="00A77B60">
      <w:pPr>
        <w:rPr>
          <w:b/>
          <w:lang w:val="en-US"/>
        </w:rPr>
      </w:pPr>
    </w:p>
    <w:p w:rsidR="00A77B60" w:rsidRPr="003A659A" w:rsidRDefault="00A77B60" w:rsidP="00A77B60">
      <w:pPr>
        <w:rPr>
          <w:rFonts w:ascii="新細明體" w:eastAsia="新細明體" w:hAnsi="新細明體"/>
          <w:sz w:val="24"/>
          <w:lang w:val="en-US" w:eastAsia="zh-TW"/>
        </w:rPr>
      </w:pPr>
      <w:r w:rsidRPr="00A77B60">
        <w:rPr>
          <w:rFonts w:hint="eastAsia"/>
          <w:b/>
          <w:lang w:val="en-US"/>
        </w:rPr>
        <w:t>思考</w:t>
      </w:r>
      <w:r w:rsidRPr="003A659A">
        <w:rPr>
          <w:rFonts w:hint="eastAsia"/>
          <w:b/>
          <w:lang w:val="en-US"/>
        </w:rPr>
        <w:t>問題</w:t>
      </w:r>
    </w:p>
    <w:p w:rsidR="00B0735E" w:rsidRPr="003A659A" w:rsidRDefault="00B0735E" w:rsidP="00B0735E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哪一種烹調介質顯著地改變了綠色蔬菜的顏色？加以說明。</w:t>
      </w:r>
    </w:p>
    <w:p w:rsidR="00604ABE" w:rsidRPr="003A659A" w:rsidRDefault="00604ABE" w:rsidP="00604ABE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哪一種烹調介質可以加快纖維素的分解，產生較軟的質地？</w:t>
      </w:r>
    </w:p>
    <w:p w:rsidR="00D0493C" w:rsidRPr="003A659A" w:rsidRDefault="00604ABE" w:rsidP="00C92FDA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3A659A">
        <w:rPr>
          <w:rFonts w:ascii="新細明體" w:eastAsia="新細明體" w:hAnsi="新細明體" w:hint="eastAsia"/>
          <w:sz w:val="24"/>
          <w:lang w:val="en-US" w:eastAsia="zh-TW"/>
        </w:rPr>
        <w:t>如果</w:t>
      </w:r>
      <w:r w:rsidR="00F61DA4" w:rsidRPr="003A659A">
        <w:rPr>
          <w:rFonts w:ascii="新細明體" w:eastAsia="新細明體" w:hAnsi="新細明體" w:hint="eastAsia"/>
          <w:sz w:val="24"/>
          <w:lang w:val="en-US" w:eastAsia="zh-TW"/>
        </w:rPr>
        <w:t>在鹼性介質中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烹調蔬菜的時間過長</w:t>
      </w:r>
      <w:r w:rsidR="00C92FDA" w:rsidRPr="003A659A">
        <w:rPr>
          <w:rFonts w:ascii="新細明體" w:eastAsia="新細明體" w:hAnsi="新細明體" w:hint="eastAsia"/>
          <w:sz w:val="24"/>
          <w:lang w:val="en-US" w:eastAsia="zh-TW"/>
        </w:rPr>
        <w:t>，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會</w:t>
      </w:r>
      <w:r w:rsidR="00C92FDA" w:rsidRPr="003A659A">
        <w:rPr>
          <w:rFonts w:ascii="新細明體" w:eastAsia="新細明體" w:hAnsi="新細明體" w:hint="eastAsia"/>
          <w:sz w:val="24"/>
          <w:lang w:val="en-US" w:eastAsia="zh-TW"/>
        </w:rPr>
        <w:t>怎樣</w:t>
      </w:r>
      <w:r w:rsidRPr="003A659A">
        <w:rPr>
          <w:rFonts w:ascii="新細明體" w:eastAsia="新細明體" w:hAnsi="新細明體" w:hint="eastAsia"/>
          <w:sz w:val="24"/>
          <w:lang w:val="en-US" w:eastAsia="zh-TW"/>
        </w:rPr>
        <w:t>？</w:t>
      </w:r>
    </w:p>
    <w:sectPr w:rsidR="00D0493C" w:rsidRPr="003A6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91" w:rsidRDefault="00CA4B91" w:rsidP="00D0493C">
      <w:pPr>
        <w:spacing w:after="0" w:line="240" w:lineRule="auto"/>
      </w:pPr>
      <w:r>
        <w:separator/>
      </w:r>
    </w:p>
  </w:endnote>
  <w:endnote w:type="continuationSeparator" w:id="0">
    <w:p w:rsidR="00CA4B91" w:rsidRDefault="00CA4B91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91" w:rsidRDefault="00CA4B91" w:rsidP="00D0493C">
      <w:pPr>
        <w:spacing w:after="0" w:line="240" w:lineRule="auto"/>
      </w:pPr>
      <w:r>
        <w:separator/>
      </w:r>
    </w:p>
  </w:footnote>
  <w:footnote w:type="continuationSeparator" w:id="0">
    <w:p w:rsidR="00CA4B91" w:rsidRDefault="00CA4B91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C26"/>
    <w:multiLevelType w:val="hybridMultilevel"/>
    <w:tmpl w:val="705285CA"/>
    <w:lvl w:ilvl="0" w:tplc="3B64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2B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69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5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E2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4D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C2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EC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EC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E634BC"/>
    <w:multiLevelType w:val="hybridMultilevel"/>
    <w:tmpl w:val="DEEC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145B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69"/>
    <w:rsid w:val="00066E95"/>
    <w:rsid w:val="00084A26"/>
    <w:rsid w:val="000A289F"/>
    <w:rsid w:val="000A652F"/>
    <w:rsid w:val="000B47E3"/>
    <w:rsid w:val="000C6224"/>
    <w:rsid w:val="000D7526"/>
    <w:rsid w:val="00101806"/>
    <w:rsid w:val="001079B2"/>
    <w:rsid w:val="00157307"/>
    <w:rsid w:val="001623DC"/>
    <w:rsid w:val="001A5427"/>
    <w:rsid w:val="00286D03"/>
    <w:rsid w:val="002F2794"/>
    <w:rsid w:val="00315A50"/>
    <w:rsid w:val="00316837"/>
    <w:rsid w:val="003672DD"/>
    <w:rsid w:val="003A659A"/>
    <w:rsid w:val="003C5B88"/>
    <w:rsid w:val="003D6AAD"/>
    <w:rsid w:val="003E2525"/>
    <w:rsid w:val="003F3CF2"/>
    <w:rsid w:val="00476169"/>
    <w:rsid w:val="004960AE"/>
    <w:rsid w:val="004C1616"/>
    <w:rsid w:val="00552EC8"/>
    <w:rsid w:val="005840D4"/>
    <w:rsid w:val="005855B2"/>
    <w:rsid w:val="005C777B"/>
    <w:rsid w:val="00604ABE"/>
    <w:rsid w:val="00620CD5"/>
    <w:rsid w:val="006512B0"/>
    <w:rsid w:val="006A0080"/>
    <w:rsid w:val="006B1C73"/>
    <w:rsid w:val="006B1FB2"/>
    <w:rsid w:val="006C0AD3"/>
    <w:rsid w:val="006E2B7A"/>
    <w:rsid w:val="006E4A76"/>
    <w:rsid w:val="00724102"/>
    <w:rsid w:val="00727ABB"/>
    <w:rsid w:val="007745E8"/>
    <w:rsid w:val="007C3226"/>
    <w:rsid w:val="007D7C8B"/>
    <w:rsid w:val="00806E78"/>
    <w:rsid w:val="008A1BC0"/>
    <w:rsid w:val="008E5499"/>
    <w:rsid w:val="0091204F"/>
    <w:rsid w:val="0091592C"/>
    <w:rsid w:val="009253DB"/>
    <w:rsid w:val="0096258A"/>
    <w:rsid w:val="009A13A0"/>
    <w:rsid w:val="00A04B5A"/>
    <w:rsid w:val="00A6601B"/>
    <w:rsid w:val="00A761A7"/>
    <w:rsid w:val="00A77B60"/>
    <w:rsid w:val="00AC4BBF"/>
    <w:rsid w:val="00AF771F"/>
    <w:rsid w:val="00B0735E"/>
    <w:rsid w:val="00B074A8"/>
    <w:rsid w:val="00B22FAF"/>
    <w:rsid w:val="00B251BC"/>
    <w:rsid w:val="00B269A9"/>
    <w:rsid w:val="00B32F44"/>
    <w:rsid w:val="00B90540"/>
    <w:rsid w:val="00C215AF"/>
    <w:rsid w:val="00C35DDE"/>
    <w:rsid w:val="00C92FDA"/>
    <w:rsid w:val="00CA4B91"/>
    <w:rsid w:val="00D04248"/>
    <w:rsid w:val="00D0493C"/>
    <w:rsid w:val="00D42C53"/>
    <w:rsid w:val="00D51C19"/>
    <w:rsid w:val="00D80B9B"/>
    <w:rsid w:val="00DA1CDC"/>
    <w:rsid w:val="00DF7371"/>
    <w:rsid w:val="00E30F80"/>
    <w:rsid w:val="00E7306F"/>
    <w:rsid w:val="00EB33AD"/>
    <w:rsid w:val="00EB5903"/>
    <w:rsid w:val="00EC13D5"/>
    <w:rsid w:val="00EC7DBA"/>
    <w:rsid w:val="00F26800"/>
    <w:rsid w:val="00F54C60"/>
    <w:rsid w:val="00F61DA4"/>
    <w:rsid w:val="00F7562A"/>
    <w:rsid w:val="00F83810"/>
    <w:rsid w:val="00F9613C"/>
    <w:rsid w:val="00FC3AB2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DB1CC"/>
  <w15:docId w15:val="{4BDF946A-05EF-4F43-A674-649CAD7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  <w:style w:type="paragraph" w:styleId="a9">
    <w:name w:val="Balloon Text"/>
    <w:basedOn w:val="a"/>
    <w:link w:val="aa"/>
    <w:uiPriority w:val="99"/>
    <w:semiHidden/>
    <w:unhideWhenUsed/>
    <w:rsid w:val="009120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2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A5BD-B353-48D3-8A8A-ED7BB32E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4</cp:revision>
  <dcterms:created xsi:type="dcterms:W3CDTF">2016-11-21T09:32:00Z</dcterms:created>
  <dcterms:modified xsi:type="dcterms:W3CDTF">2019-10-29T09:00:00Z</dcterms:modified>
</cp:coreProperties>
</file>