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6ACD" w14:textId="77777777" w:rsidR="006F0808" w:rsidRPr="004254B1" w:rsidRDefault="006F0808" w:rsidP="006F08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254B1">
        <w:rPr>
          <w:rFonts w:ascii="Times New Roman" w:hAnsi="Times New Roman" w:cs="Times New Roman" w:hint="eastAsia"/>
          <w:b/>
          <w:bCs/>
          <w:sz w:val="32"/>
          <w:szCs w:val="32"/>
        </w:rPr>
        <w:t>前言</w:t>
      </w:r>
    </w:p>
    <w:p w14:paraId="1F3429FE" w14:textId="77777777" w:rsidR="006F0808" w:rsidRPr="004254B1" w:rsidRDefault="006F0808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45A089B5" w14:textId="1AF1F382" w:rsidR="00CA330D" w:rsidRPr="004254B1" w:rsidRDefault="003A02AF" w:rsidP="006F19AB">
      <w:pPr>
        <w:rPr>
          <w:rFonts w:asciiTheme="minorEastAsia" w:hAnsiTheme="minorEastAsia" w:cs="Times New Roman"/>
          <w:szCs w:val="24"/>
          <w14:ligatures w14:val="standardContextual"/>
        </w:rPr>
      </w:pPr>
      <w:r w:rsidRPr="004254B1">
        <w:rPr>
          <w:rFonts w:asciiTheme="minorEastAsia" w:hAnsiTheme="minorEastAsia" w:cs="Times New Roman"/>
          <w:szCs w:val="24"/>
          <w14:ligatures w14:val="standardContextual"/>
        </w:rPr>
        <w:t>本系列影片透過兩位動畫主角的處境，結合學者和專家的講解，介紹六個不同的媒體和資訊素養主題（詳情見下表）。每</w:t>
      </w:r>
      <w:r w:rsidR="00E72B81" w:rsidRPr="004254B1">
        <w:rPr>
          <w:rFonts w:asciiTheme="minorEastAsia" w:hAnsiTheme="minorEastAsia" w:cs="Times New Roman"/>
          <w:szCs w:val="24"/>
          <w14:ligatures w14:val="standardContextual"/>
        </w:rPr>
        <w:t>集影片</w:t>
      </w: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均附有</w:t>
      </w:r>
      <w:r w:rsidR="006F0808" w:rsidRPr="004254B1">
        <w:rPr>
          <w:rFonts w:asciiTheme="minorEastAsia" w:hAnsiTheme="minorEastAsia" w:cs="Times New Roman" w:hint="eastAsia"/>
          <w:szCs w:val="24"/>
          <w14:ligatures w14:val="standardContextual"/>
        </w:rPr>
        <w:t>工作紙、</w:t>
      </w: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教案及</w:t>
      </w:r>
      <w:r w:rsidR="00E72B81" w:rsidRPr="004254B1">
        <w:rPr>
          <w:rFonts w:asciiTheme="minorEastAsia" w:hAnsiTheme="minorEastAsia" w:cs="Times New Roman" w:hint="eastAsia"/>
          <w:szCs w:val="24"/>
          <w14:ligatures w14:val="standardContextual"/>
        </w:rPr>
        <w:t>相關學與教材料</w:t>
      </w:r>
      <w:r w:rsidRPr="004254B1">
        <w:rPr>
          <w:rFonts w:asciiTheme="minorEastAsia" w:hAnsiTheme="minorEastAsia" w:cs="Times New Roman"/>
          <w:szCs w:val="24"/>
          <w14:ligatures w14:val="standardContextual"/>
        </w:rPr>
        <w:t>，以促進學生反思和課堂討論。</w:t>
      </w:r>
      <w:r w:rsidR="00E35B98">
        <w:rPr>
          <w:rFonts w:asciiTheme="minorEastAsia" w:hAnsiTheme="minorEastAsia" w:cs="Times New Roman" w:hint="eastAsia"/>
          <w:szCs w:val="24"/>
          <w14:ligatures w14:val="standardContextual"/>
        </w:rPr>
        <w:t xml:space="preserve"> </w:t>
      </w:r>
    </w:p>
    <w:p w14:paraId="4D03B395" w14:textId="77777777" w:rsidR="00CA330D" w:rsidRPr="004254B1" w:rsidRDefault="00CA330D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546DE16F" w14:textId="2934B151" w:rsidR="003A02AF" w:rsidRPr="004254B1" w:rsidRDefault="00CA330D" w:rsidP="006F19AB">
      <w:pPr>
        <w:rPr>
          <w:rFonts w:asciiTheme="minorEastAsia" w:hAnsiTheme="minorEastAsia" w:cs="Times New Roman"/>
          <w:szCs w:val="24"/>
          <w14:ligatures w14:val="standardContextual"/>
        </w:rPr>
      </w:pP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本系列學與教資源</w:t>
      </w:r>
      <w:r w:rsidR="006C6328" w:rsidRPr="004254B1">
        <w:rPr>
          <w:rFonts w:asciiTheme="minorEastAsia" w:hAnsiTheme="minorEastAsia" w:cs="Times New Roman" w:hint="eastAsia"/>
          <w:szCs w:val="24"/>
          <w14:ligatures w14:val="standardContextual"/>
        </w:rPr>
        <w:t>由教育局與新聞教育基金</w:t>
      </w:r>
      <w:r w:rsidR="00362E14" w:rsidRPr="004254B1">
        <w:rPr>
          <w:rFonts w:asciiTheme="minorEastAsia" w:hAnsiTheme="minorEastAsia" w:cs="Times New Roman" w:hint="eastAsia"/>
          <w:szCs w:val="24"/>
          <w14:ligatures w14:val="standardContextual"/>
        </w:rPr>
        <w:t>共同</w:t>
      </w:r>
      <w:r w:rsidR="006C6328" w:rsidRPr="004254B1">
        <w:rPr>
          <w:rFonts w:asciiTheme="minorEastAsia" w:hAnsiTheme="minorEastAsia" w:cs="Times New Roman" w:hint="eastAsia"/>
          <w:szCs w:val="24"/>
          <w14:ligatures w14:val="standardContextual"/>
        </w:rPr>
        <w:t>發展，以供教師參考</w:t>
      </w:r>
      <w:r w:rsidR="00EA7C7F" w:rsidRPr="004254B1">
        <w:rPr>
          <w:rFonts w:asciiTheme="minorEastAsia" w:hAnsiTheme="minorEastAsia" w:cs="Times New Roman"/>
          <w:szCs w:val="24"/>
          <w14:ligatures w14:val="standardContextual"/>
        </w:rPr>
        <w:t>。</w:t>
      </w: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內容並不包括所有學習情境，</w:t>
      </w:r>
      <w:r w:rsidR="003A02AF" w:rsidRPr="004254B1">
        <w:rPr>
          <w:rFonts w:asciiTheme="minorEastAsia" w:hAnsiTheme="minorEastAsia" w:cs="Times New Roman"/>
          <w:szCs w:val="24"/>
          <w14:ligatures w14:val="standardContextual"/>
        </w:rPr>
        <w:t>教師</w:t>
      </w: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宜</w:t>
      </w:r>
      <w:r w:rsidR="003A02AF" w:rsidRPr="004254B1">
        <w:rPr>
          <w:rFonts w:asciiTheme="minorEastAsia" w:hAnsiTheme="minorEastAsia" w:cs="Times New Roman"/>
          <w:szCs w:val="24"/>
          <w14:ligatures w14:val="standardContextual"/>
        </w:rPr>
        <w:t>按學生的學習需要</w:t>
      </w:r>
      <w:r w:rsidRPr="004254B1">
        <w:rPr>
          <w:rFonts w:asciiTheme="minorEastAsia" w:hAnsiTheme="minorEastAsia" w:cs="Times New Roman" w:hint="eastAsia"/>
          <w:szCs w:val="24"/>
          <w14:ligatures w14:val="standardContextual"/>
        </w:rPr>
        <w:t>作適當調適</w:t>
      </w:r>
      <w:r w:rsidR="003A02AF" w:rsidRPr="004254B1">
        <w:rPr>
          <w:rFonts w:asciiTheme="minorEastAsia" w:hAnsiTheme="minorEastAsia" w:cs="Times New Roman" w:hint="eastAsia"/>
          <w:szCs w:val="24"/>
          <w14:ligatures w14:val="standardContextual"/>
        </w:rPr>
        <w:t>。</w:t>
      </w:r>
    </w:p>
    <w:p w14:paraId="166E4874" w14:textId="4661728D" w:rsidR="003A02AF" w:rsidRPr="004254B1" w:rsidRDefault="003A02AF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23747745" w14:textId="4610690F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520D5A45" w14:textId="5B2CA4BB" w:rsidR="006739C1" w:rsidRPr="004254B1" w:rsidRDefault="006739C1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53B7B849" w14:textId="77777777" w:rsidR="006739C1" w:rsidRPr="004254B1" w:rsidRDefault="006739C1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488542FB" w14:textId="11D039F7" w:rsidR="00EA7C7F" w:rsidRPr="004254B1" w:rsidRDefault="00EA7C7F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7C4C68E8" w14:textId="1A61849E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2A297073" w14:textId="12CBB775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2C49C884" w14:textId="259E2E98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406E515D" w14:textId="633435F3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65068AF5" w14:textId="470DD77C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79107AE6" w14:textId="0847B501" w:rsidR="006F19AB" w:rsidRPr="004254B1" w:rsidRDefault="006F19AB" w:rsidP="006F19AB">
      <w:pPr>
        <w:rPr>
          <w:rFonts w:asciiTheme="minorEastAsia" w:hAnsiTheme="minorEastAsia" w:cs="Times New Roman"/>
          <w:szCs w:val="24"/>
          <w14:ligatures w14:val="standardContextual"/>
        </w:rPr>
      </w:pPr>
    </w:p>
    <w:p w14:paraId="70462C0D" w14:textId="77777777" w:rsidR="008B3EFA" w:rsidRPr="004254B1" w:rsidRDefault="008B3EFA">
      <w:pPr>
        <w:rPr>
          <w:rFonts w:asciiTheme="minorEastAsia" w:hAnsiTheme="minorEastAsia" w:cs="Times New Roman"/>
          <w:szCs w:val="24"/>
          <w14:ligatures w14:val="standardContextual"/>
        </w:rPr>
      </w:pPr>
    </w:p>
    <w:sectPr w:rsidR="008B3EFA" w:rsidRPr="004254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00B4" w14:textId="77777777" w:rsidR="00476D0A" w:rsidRDefault="00476D0A" w:rsidP="00D16576">
      <w:r>
        <w:separator/>
      </w:r>
    </w:p>
  </w:endnote>
  <w:endnote w:type="continuationSeparator" w:id="0">
    <w:p w14:paraId="02179253" w14:textId="77777777" w:rsidR="00476D0A" w:rsidRDefault="00476D0A" w:rsidP="00D1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C4D6" w14:textId="77777777" w:rsidR="00476D0A" w:rsidRDefault="00476D0A" w:rsidP="00D16576">
      <w:r>
        <w:separator/>
      </w:r>
    </w:p>
  </w:footnote>
  <w:footnote w:type="continuationSeparator" w:id="0">
    <w:p w14:paraId="467CE951" w14:textId="77777777" w:rsidR="00476D0A" w:rsidRDefault="00476D0A" w:rsidP="00D1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889"/>
    <w:multiLevelType w:val="hybridMultilevel"/>
    <w:tmpl w:val="9C944F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FA"/>
    <w:rsid w:val="000F0718"/>
    <w:rsid w:val="00151FF8"/>
    <w:rsid w:val="002B1921"/>
    <w:rsid w:val="00362E14"/>
    <w:rsid w:val="003A02AF"/>
    <w:rsid w:val="003E5174"/>
    <w:rsid w:val="004254B1"/>
    <w:rsid w:val="00476D0A"/>
    <w:rsid w:val="00571F26"/>
    <w:rsid w:val="005F4B33"/>
    <w:rsid w:val="006739C1"/>
    <w:rsid w:val="006C6328"/>
    <w:rsid w:val="006F0808"/>
    <w:rsid w:val="006F19AB"/>
    <w:rsid w:val="00832347"/>
    <w:rsid w:val="008B3EFA"/>
    <w:rsid w:val="00987A29"/>
    <w:rsid w:val="00996AF4"/>
    <w:rsid w:val="00C86C4B"/>
    <w:rsid w:val="00CA330D"/>
    <w:rsid w:val="00D16576"/>
    <w:rsid w:val="00E35B98"/>
    <w:rsid w:val="00E72B81"/>
    <w:rsid w:val="00EA7C7F"/>
    <w:rsid w:val="00ED1501"/>
    <w:rsid w:val="00F84400"/>
    <w:rsid w:val="00FB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5CDFE"/>
  <w15:chartTrackingRefBased/>
  <w15:docId w15:val="{FE34781A-9BD8-41E8-8DF2-EB625E4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FA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9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9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19A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16576"/>
    <w:pPr>
      <w:tabs>
        <w:tab w:val="center" w:pos="4513"/>
        <w:tab w:val="right" w:pos="9026"/>
      </w:tabs>
    </w:pPr>
  </w:style>
  <w:style w:type="character" w:customStyle="1" w:styleId="a7">
    <w:name w:val="頁首 字元"/>
    <w:basedOn w:val="a0"/>
    <w:link w:val="a6"/>
    <w:uiPriority w:val="99"/>
    <w:rsid w:val="00D16576"/>
    <w:rPr>
      <w:kern w:val="2"/>
      <w:sz w:val="24"/>
      <w:lang w:eastAsia="zh-TW"/>
    </w:rPr>
  </w:style>
  <w:style w:type="paragraph" w:styleId="a8">
    <w:name w:val="footer"/>
    <w:basedOn w:val="a"/>
    <w:link w:val="a9"/>
    <w:uiPriority w:val="99"/>
    <w:unhideWhenUsed/>
    <w:rsid w:val="00D16576"/>
    <w:pPr>
      <w:tabs>
        <w:tab w:val="center" w:pos="4513"/>
        <w:tab w:val="right" w:pos="9026"/>
      </w:tabs>
    </w:pPr>
  </w:style>
  <w:style w:type="character" w:customStyle="1" w:styleId="a9">
    <w:name w:val="頁尾 字元"/>
    <w:basedOn w:val="a0"/>
    <w:link w:val="a8"/>
    <w:uiPriority w:val="99"/>
    <w:rsid w:val="00D16576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LO, Hiu-man</cp:lastModifiedBy>
  <cp:revision>6</cp:revision>
  <dcterms:created xsi:type="dcterms:W3CDTF">2026-02-25T00:53:00Z</dcterms:created>
  <dcterms:modified xsi:type="dcterms:W3CDTF">2026-02-25T00:56:00Z</dcterms:modified>
</cp:coreProperties>
</file>